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rPr>
          <w:rFonts w:hint="eastAsia" w:ascii="微软雅黑" w:hAnsi="微软雅黑" w:eastAsia="微软雅黑" w:cs="微软雅黑"/>
          <w:b/>
          <w:bCs/>
          <w:i w:val="0"/>
          <w:iCs w:val="0"/>
          <w:caps w:val="0"/>
          <w:color w:val="282828"/>
          <w:spacing w:val="0"/>
          <w:sz w:val="30"/>
          <w:szCs w:val="30"/>
        </w:rPr>
      </w:pPr>
      <w:r>
        <w:rPr>
          <w:rFonts w:hint="eastAsia" w:ascii="微软雅黑" w:hAnsi="微软雅黑" w:eastAsia="微软雅黑" w:cs="微软雅黑"/>
          <w:b/>
          <w:bCs/>
          <w:i w:val="0"/>
          <w:iCs w:val="0"/>
          <w:caps w:val="0"/>
          <w:color w:val="282828"/>
          <w:spacing w:val="0"/>
          <w:sz w:val="30"/>
          <w:szCs w:val="30"/>
          <w:bdr w:val="none" w:color="auto" w:sz="0" w:space="0"/>
        </w:rPr>
        <w:t>重庆大学经济与工商管理学院2024年博士研究生招生录取实施细则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jc w:val="left"/>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根据《关于做好2024年招博士研究生招生（普通招考）工作的通知》（重大校发〔2024〕38号）、《关于做好2024年硕博连读研究生选拔工作的通知》（重大校发〔2024〕39号）的精神，结合我院具体情况，制定如下2024年学术型博士研究生招生考核录取工作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一、选拔原则和培养目标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经济与工商管理学院旨在培养德才兼备、综合素质全面、学术素养深厚、学术视野宽阔、具有较强的科研创新意识和创新能力的高素质复合型、研究型人才。根据学位培养目标并结合教育部以及重庆大学相关规定，博士研究生招生复试工作坚守以下选拔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 坚持公平、公正、公开原则，做到政策透明、程序公正、结果公开，保障考生权益。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 坚持全面考察、科学选拔的原则，注重对思想政治素质和品德、专业素质和综合能力等方面的综合考核，并采用多样化考察方式，确保生源质量。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 坚持统一组织、统筹管理，严格执行学校相关规定，确保博士研究生招生工作的监督检查与复核。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二、组织形式和职责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1、招生工作领导小组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根据《关于做好2024年招博士研究生招生（普通招考）工作的通知》、《关于做好2024年硕博连读研究生选拔工作的通知》的规定，经济与工商管理学院博士研究生招生工作领导小组组成人员如下：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 组长：黄河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 副组长：严太华，钱丽萍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 成员：张燕，刘辛，陈逢文，郁培文，欧璟华，常宝龙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招生工作领导小组负责人联系电话：023-65103527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经管学院纪委电话：023-65106381、023-65103525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2. 申请材料审核专家组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组建申请材料审核专家组，完成对申请考生提交申请材料的审核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3. 学术水平考核专家组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组建学术水平考核专家组，负责组织实施对考生学术水平考核。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4. 思想政治素质和品德考核组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组建思想政治素质和品德考核组，负责对考生思想政治素质和品德进行考核评价。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三、招生计划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根据研究生院划分到我院的博士研究生名额，2024年博士研究生招生录取名额为38人（已招直博生2人）。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四、申请条件和要求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（一）拥护中国共产党的领导，具有正确的政治方向，热爱祖国，愿意为社会主义现代化建设服务，遵纪守法，品行端正。诚实守信，学风端正，无任何考试作弊、剽窃他人学术成果及其它违法违纪受处分记录。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（二）具有国家承认的硕士研究生毕业学历或硕士学位的人员（应届硕士毕业生最迟须在入学前毕业或取得硕士学位）。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（三）身体和心理健康状况符合国家和我校相关规定。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（四）有至少两名所报考学科专业领域内的教授（或相当专业技术职称的专家）的书面推荐意见。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（五）报考非定向就业博士生的考生年龄一般不超过45岁，报考定向就业博士生的考生年龄不限。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（六）符合报考学院规定提出的报考学术学位博士研究生的申请条件和要求。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七）“市属高校选派优秀教师攻读博士学位专项工作”招生计划的推荐报考条件和要求，除满足上述“（一）至（六）”报考条件外，需满足重庆市教育委会员《关于开展2024年度市属高校选派优秀教师攻读在渝高校博士学位专项工作的通知》（渝教人发〔2023〕46号）文件要求，且符合教育部及相关单位推荐报考条件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注：硕博连读考生报考条件详见《关于做好2024年硕博连读研究生选拔工作的通知》。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000000"/>
          <w:spacing w:val="0"/>
          <w:sz w:val="28"/>
          <w:szCs w:val="28"/>
          <w:bdr w:val="none" w:color="auto" w:sz="0" w:space="0"/>
        </w:rPr>
        <w:t>五、审核程序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000000"/>
          <w:spacing w:val="0"/>
          <w:sz w:val="28"/>
          <w:szCs w:val="28"/>
          <w:bdr w:val="none" w:color="auto" w:sz="0" w:space="0"/>
        </w:rPr>
        <w:t>1. 申请资格审查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审查考生是否按学校要求上传材料，对考生上传到招生系统中的报名材料内容进行审核，包括申请考生居民身份证、学位证书、学历证书（以报名前所获得的文凭为准）、学生证等报名材料原件的真实性及“报考条件”的符合性进行核查。审核通过的考生将进入我院2024年博士研究生招生考核环节。审核通过的考生名单将在2024年4月15日前经济与工商管理学院官网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000000"/>
          <w:spacing w:val="0"/>
          <w:sz w:val="28"/>
          <w:szCs w:val="28"/>
          <w:bdr w:val="none" w:color="auto" w:sz="0" w:space="0"/>
        </w:rPr>
        <w:t>2. 申请材料审核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学院组织审核专家组基于考生（含硕博连读考生）硕士课程成绩、硕士学位论文（含评议书，应届硕士毕业生硕士论文开题报告）、考生参与科研、发表论文、出版专著、获奖等情况及专家推荐意见、考生自我评价等申请材料，对考生的科研创新能力进行评价，给出相应成绩（满分为100分，60分及以上为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申请材料审核结果及成绩在2024年</w:t>
      </w:r>
      <w:r>
        <w:rPr>
          <w:rFonts w:hint="eastAsia" w:ascii="微软雅黑" w:hAnsi="微软雅黑" w:eastAsia="微软雅黑" w:cs="微软雅黑"/>
          <w:i w:val="0"/>
          <w:iCs w:val="0"/>
          <w:caps w:val="0"/>
          <w:color w:val="2C2C2C"/>
          <w:spacing w:val="0"/>
          <w:sz w:val="28"/>
          <w:szCs w:val="28"/>
          <w:bdr w:val="none" w:color="auto" w:sz="0" w:space="0"/>
        </w:rPr>
        <w:t>4月18日前</w:t>
      </w:r>
      <w:r>
        <w:rPr>
          <w:rFonts w:hint="eastAsia" w:ascii="微软雅黑" w:hAnsi="微软雅黑" w:eastAsia="微软雅黑" w:cs="微软雅黑"/>
          <w:i w:val="0"/>
          <w:iCs w:val="0"/>
          <w:caps w:val="0"/>
          <w:color w:val="000000"/>
          <w:spacing w:val="0"/>
          <w:sz w:val="28"/>
          <w:szCs w:val="28"/>
          <w:bdr w:val="none" w:color="auto" w:sz="0" w:space="0"/>
        </w:rPr>
        <w:t>经济与工商管理学院网站上公布。同时公布进入学术水平考核、思想政治素质与道德考核名单。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3.思想政治素质和品德考核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思想政治素质和品德考核内容主要包括考生的政治态度、思想表现、道德品质、遵纪守法、诚实守信等，和综合考核同步进行，考核结果分为“通过”和“不通过”两类，不计入考试总成绩。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000000"/>
          <w:spacing w:val="0"/>
          <w:sz w:val="28"/>
          <w:szCs w:val="28"/>
          <w:bdr w:val="none" w:color="auto" w:sz="0" w:space="0"/>
        </w:rPr>
        <w:t>4. 综合考核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经济与工商管理学院2024年博士研究生入学考核环节分为两个部分，第一部分：基础知识考核（笔试环节）；第二部分：学术能力考核（面试环节）。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000000"/>
          <w:spacing w:val="0"/>
          <w:sz w:val="28"/>
          <w:szCs w:val="28"/>
          <w:bdr w:val="none" w:color="auto" w:sz="0" w:space="0"/>
        </w:rPr>
        <w:t>第一部分：基础知识考核（笔试环节）科目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1). 外语考核：科目为《英语》</w:t>
      </w:r>
      <w:r>
        <w:rPr>
          <w:rStyle w:val="6"/>
          <w:rFonts w:hint="eastAsia" w:ascii="微软雅黑" w:hAnsi="微软雅黑" w:eastAsia="微软雅黑" w:cs="微软雅黑"/>
          <w:i w:val="0"/>
          <w:iCs w:val="0"/>
          <w:caps w:val="0"/>
          <w:color w:val="000000"/>
          <w:spacing w:val="0"/>
          <w:sz w:val="28"/>
          <w:szCs w:val="28"/>
          <w:bdr w:val="none" w:color="auto" w:sz="0" w:space="0"/>
        </w:rPr>
        <w:t>，100分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2). 专业基础，科目为《宏微观经济学》，</w:t>
      </w:r>
      <w:r>
        <w:rPr>
          <w:rStyle w:val="6"/>
          <w:rFonts w:hint="eastAsia" w:ascii="微软雅黑" w:hAnsi="微软雅黑" w:eastAsia="微软雅黑" w:cs="微软雅黑"/>
          <w:i w:val="0"/>
          <w:iCs w:val="0"/>
          <w:caps w:val="0"/>
          <w:color w:val="000000"/>
          <w:spacing w:val="0"/>
          <w:sz w:val="28"/>
          <w:szCs w:val="28"/>
          <w:bdr w:val="none" w:color="auto" w:sz="0" w:space="0"/>
        </w:rPr>
        <w:t>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3). 专业综合，科目根据报考专业不同选择专业综合科目，</w:t>
      </w:r>
      <w:r>
        <w:rPr>
          <w:rStyle w:val="6"/>
          <w:rFonts w:hint="eastAsia" w:ascii="微软雅黑" w:hAnsi="微软雅黑" w:eastAsia="微软雅黑" w:cs="微软雅黑"/>
          <w:i w:val="0"/>
          <w:iCs w:val="0"/>
          <w:caps w:val="0"/>
          <w:color w:val="000000"/>
          <w:spacing w:val="0"/>
          <w:sz w:val="28"/>
          <w:szCs w:val="28"/>
          <w:bdr w:val="none" w:color="auto" w:sz="0" w:space="0"/>
        </w:rPr>
        <w:t>100分</w:t>
      </w:r>
      <w:r>
        <w:rPr>
          <w:rFonts w:hint="eastAsia" w:ascii="微软雅黑" w:hAnsi="微软雅黑" w:eastAsia="微软雅黑" w:cs="微软雅黑"/>
          <w:i w:val="0"/>
          <w:iCs w:val="0"/>
          <w:caps w:val="0"/>
          <w:color w:val="000000"/>
          <w:spacing w:val="0"/>
          <w:sz w:val="28"/>
          <w:szCs w:val="28"/>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① 报考</w:t>
      </w:r>
      <w:r>
        <w:rPr>
          <w:rStyle w:val="6"/>
          <w:rFonts w:hint="eastAsia" w:ascii="微软雅黑" w:hAnsi="微软雅黑" w:eastAsia="微软雅黑" w:cs="微软雅黑"/>
          <w:i w:val="0"/>
          <w:iCs w:val="0"/>
          <w:caps w:val="0"/>
          <w:color w:val="000000"/>
          <w:spacing w:val="0"/>
          <w:sz w:val="28"/>
          <w:szCs w:val="28"/>
          <w:bdr w:val="none" w:color="auto" w:sz="0" w:space="0"/>
        </w:rPr>
        <w:t>应用经济学</w:t>
      </w:r>
      <w:r>
        <w:rPr>
          <w:rFonts w:hint="eastAsia" w:ascii="微软雅黑" w:hAnsi="微软雅黑" w:eastAsia="微软雅黑" w:cs="微软雅黑"/>
          <w:i w:val="0"/>
          <w:iCs w:val="0"/>
          <w:caps w:val="0"/>
          <w:color w:val="000000"/>
          <w:spacing w:val="0"/>
          <w:sz w:val="28"/>
          <w:szCs w:val="28"/>
          <w:bdr w:val="none" w:color="auto" w:sz="0" w:space="0"/>
        </w:rPr>
        <w:t>专业的博士考生在《投资学》和《计量经济学》两门课程中任选一门；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② 报考</w:t>
      </w:r>
      <w:r>
        <w:rPr>
          <w:rStyle w:val="6"/>
          <w:rFonts w:hint="eastAsia" w:ascii="微软雅黑" w:hAnsi="微软雅黑" w:eastAsia="微软雅黑" w:cs="微软雅黑"/>
          <w:i w:val="0"/>
          <w:iCs w:val="0"/>
          <w:caps w:val="0"/>
          <w:color w:val="000000"/>
          <w:spacing w:val="0"/>
          <w:sz w:val="28"/>
          <w:szCs w:val="28"/>
          <w:bdr w:val="none" w:color="auto" w:sz="0" w:space="0"/>
        </w:rPr>
        <w:t>工商管理</w:t>
      </w:r>
      <w:r>
        <w:rPr>
          <w:rFonts w:hint="eastAsia" w:ascii="微软雅黑" w:hAnsi="微软雅黑" w:eastAsia="微软雅黑" w:cs="微软雅黑"/>
          <w:i w:val="0"/>
          <w:iCs w:val="0"/>
          <w:caps w:val="0"/>
          <w:color w:val="000000"/>
          <w:spacing w:val="0"/>
          <w:sz w:val="28"/>
          <w:szCs w:val="28"/>
          <w:bdr w:val="none" w:color="auto" w:sz="0" w:space="0"/>
        </w:rPr>
        <w:t>专业的博士考生在《管理学》和《运筹学》两门课程中任选一门。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000000"/>
          <w:spacing w:val="0"/>
          <w:sz w:val="28"/>
          <w:szCs w:val="28"/>
          <w:bdr w:val="none" w:color="auto" w:sz="0" w:space="0"/>
        </w:rPr>
        <w:t>4. 笔试环节时间：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2024年4月27日 8:30-11:30  英语笔试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2024年4月27日 14:00-17:00  专业基础笔试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2024年4月28日 8:30-11:30  专业综合笔试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000000"/>
          <w:spacing w:val="0"/>
          <w:sz w:val="28"/>
          <w:szCs w:val="28"/>
          <w:bdr w:val="none" w:color="auto" w:sz="0" w:space="0"/>
        </w:rPr>
        <w:t>5. 考试地点：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7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地点：经管学院（A区）2楼教室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7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6. 笔试环节说明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笔试相关流程2024年4月23日前见学院官网通知。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000000"/>
          <w:spacing w:val="0"/>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000000"/>
          <w:spacing w:val="0"/>
          <w:sz w:val="28"/>
          <w:szCs w:val="28"/>
          <w:bdr w:val="none" w:color="auto" w:sz="0" w:space="0"/>
        </w:rPr>
        <w:t>第二部分：学术能力考核（面试环节）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000000"/>
          <w:spacing w:val="0"/>
          <w:sz w:val="28"/>
          <w:szCs w:val="28"/>
          <w:bdr w:val="none" w:color="auto" w:sz="0" w:space="0"/>
        </w:rPr>
        <w:t>1. 综合能力测评，100分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含考生攻博期间研究计划展示与提问、考生综合能力评价(专家组从考生已有的科研训练、科研成果、本硕期间学习成绩和竞赛情况等方面进行评判)。其中，招生导师的综合能力评价分数综合能力测评考核成绩的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000000"/>
          <w:spacing w:val="0"/>
          <w:sz w:val="28"/>
          <w:szCs w:val="28"/>
          <w:bdr w:val="none" w:color="auto" w:sz="0" w:space="0"/>
        </w:rPr>
        <w:t>2. 综合能力考核时间：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2024年4月29日 8:30-12:30、 13:30-17:30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000000"/>
          <w:spacing w:val="0"/>
          <w:sz w:val="28"/>
          <w:szCs w:val="28"/>
          <w:bdr w:val="none" w:color="auto" w:sz="0" w:space="0"/>
        </w:rPr>
        <w:t>3. 综合能力考核地点：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7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地点：经管学院（A区）2、3楼教室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000000"/>
          <w:spacing w:val="0"/>
          <w:sz w:val="28"/>
          <w:szCs w:val="28"/>
          <w:bdr w:val="none" w:color="auto" w:sz="0" w:space="0"/>
        </w:rPr>
        <w:t>4. 综合能力考核流程：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7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2024年4月28日通知学术能力考核相关流程。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000000"/>
          <w:spacing w:val="0"/>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000000"/>
          <w:spacing w:val="0"/>
          <w:sz w:val="28"/>
          <w:szCs w:val="28"/>
          <w:bdr w:val="none" w:color="auto" w:sz="0" w:space="0"/>
        </w:rPr>
        <w:t>六、成绩计算及拟录取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000000"/>
          <w:spacing w:val="0"/>
          <w:sz w:val="28"/>
          <w:szCs w:val="28"/>
          <w:bdr w:val="none" w:color="auto" w:sz="0" w:space="0"/>
        </w:rPr>
        <w:t>1. 成绩计算方法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总成绩=（笔试总成绩/3）×0.4+材料审核成绩×0.1+综合能力测评成绩×0.5。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注：硕博连读考生成绩计算方式与普通招考考生成绩计算方式一致。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2. 拟录取原则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（1）第一志愿拟录取方案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在招生导师招生计划限额内，从报考该导师的合格生源中，按照“考生总成绩”由高到低择优确定拟录取名单。如果出现“考生总成绩”分数相同的情况，则排序的优先顺序依次为“综合能力测评成绩”“专业基础成绩”“专业综合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（2）调剂拟录取方案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成绩达到合格分数线、思想政治素质和品德考核合格且身体健康状态符合体检要求的申请考生（合格生源），因所报考的招生导师本年度无招生指标或招生指标已满限额未被录取，可申请报考相同学科其他有剩余招生指标的导师参加调剂招生考核。调剂方案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有剩余招生指标的导师向学院提交调剂招生申请，由学院发布招生需求信息，包括招生导师、招生学科、招生名额等内容。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申请调剂的考生和意向导师需重新填写“博士招生意向导师确认表”，经学院审核确认具备调剂资格后，考生参加由学院再次组织的学术水平考核，重新进行英语、专业基础、专业综合和综合面试。成绩排序和拟录取规则同“第一志愿拟录取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调剂面试时间地点将另行通知。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七、关于体检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考生应在拟录取名单公布前，到重庆大学A区、B区或虎溪校区校医院进行体检（体检项目同高考体检项目）。体检表在拟录取名单公布前交至经济与工商管理学院710办公室。未按时提交体检表或体检不合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000000"/>
          <w:spacing w:val="0"/>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000000"/>
          <w:spacing w:val="0"/>
          <w:sz w:val="28"/>
          <w:szCs w:val="28"/>
          <w:bdr w:val="none" w:color="auto" w:sz="0" w:space="0"/>
        </w:rPr>
        <w:t>八、信息公开公示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我院将按照学校和研究生院要求，按时在重庆大学经管学院官网上公示相关信息。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8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公示期间联系电话：023-65103527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000000"/>
          <w:spacing w:val="0"/>
          <w:sz w:val="28"/>
          <w:szCs w:val="28"/>
          <w:bdr w:val="none" w:color="auto" w:sz="0" w:space="0"/>
        </w:rPr>
        <w:t>九、 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其他未尽事宜，参照重庆大学研招办相关通知要求。</w:t>
      </w:r>
    </w:p>
    <w:p>
      <w:pPr>
        <w:rPr>
          <w:rFonts w:hint="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91B74F0"/>
    <w:rsid w:val="01A83C46"/>
    <w:rsid w:val="08C76272"/>
    <w:rsid w:val="0FF17F33"/>
    <w:rsid w:val="17DC7AB4"/>
    <w:rsid w:val="191B74F0"/>
    <w:rsid w:val="20EA738C"/>
    <w:rsid w:val="23BD39B2"/>
    <w:rsid w:val="26BE651E"/>
    <w:rsid w:val="2874236C"/>
    <w:rsid w:val="2EC92D50"/>
    <w:rsid w:val="30E65649"/>
    <w:rsid w:val="323352EB"/>
    <w:rsid w:val="3856677A"/>
    <w:rsid w:val="398B45F9"/>
    <w:rsid w:val="3A751FF8"/>
    <w:rsid w:val="3CFA521A"/>
    <w:rsid w:val="3DAB17BA"/>
    <w:rsid w:val="4F13254C"/>
    <w:rsid w:val="54691D09"/>
    <w:rsid w:val="624956CD"/>
    <w:rsid w:val="6CD77A20"/>
    <w:rsid w:val="75306550"/>
    <w:rsid w:val="7E094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2024-03-28T08:39:00Z</dcterms:created>
  <dc:creator>WPS_1663235086</dc:creator>
  <cp:lastModifiedBy>WPS_1663235086</cp:lastModifiedBy>
  <dcterms:modified xsi:type="dcterms:W3CDTF">2024-03-28T08:56:03Z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F0775EBCDB0F48F99C33936F350C3BCC_13</vt:lpwstr>
  </property>
</Properties>
</file>