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225" w:beforeAutospacing="0" w:after="30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CFCFC"/>
        </w:rPr>
        <w:t>环境科学与工程学院2024年以“申请考核”方式招收环境科学与工程专业博士研究生实施细则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广东工业大学环境科学与工程学院在广东省最早（1983年）招收环境工程专业本科生。现有环境科学与工程博士后科研流动站、环境科学与工程一级学科博士点和一级学科硕士点、资源与环境硕士专业学位点；环境工程、环境科学、环境生态工程、安全工程四个本科专业。环境科学与工程为广东省优势重点学科，环境工程为国家级特色专业、国家一流本科及广东省名牌专业，</w:t>
      </w:r>
      <w:r>
        <w:rPr>
          <w:rStyle w:val="8"/>
          <w:rFonts w:hint="eastAsia" w:ascii="宋体" w:hAnsi="宋体" w:eastAsia="宋体" w:cs="宋体"/>
          <w:color w:val="666666"/>
          <w:sz w:val="24"/>
          <w:szCs w:val="24"/>
        </w:rPr>
        <w:t>2018年入选广东省高等教育“冲一流”提升计划重点建设学科，2023年软科中国环境科学与工程学科排名15位(前12%)，2023年9月软科世界一流学科世界排名环境科学与工程学科位居第50名。</w:t>
      </w:r>
      <w:r>
        <w:rPr>
          <w:rFonts w:hint="eastAsia" w:ascii="宋体" w:hAnsi="宋体" w:eastAsia="宋体" w:cs="宋体"/>
          <w:color w:val="666666"/>
          <w:sz w:val="24"/>
          <w:szCs w:val="24"/>
        </w:rPr>
        <w:t>专业实验室面积超7000平方米，教学科研仪器设备总值8000多万元。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555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  <w:shd w:val="clear" w:fill="FFFFFF"/>
        </w:rPr>
        <w:t>学院现有在编在职教职工95人，其中专任教师77人，具有博士学位教职工75人，教授31人、副教授29人。学院现有博导23人、硕导59人；国家杰青等国家级人才8人次；南粤百杰、珠江特聘/青年、创新团队带头人、省级领军人才、省杰青等省级人才23人次。兼职教授3位(海外院士1位、教育部高层次人才讲座教授1位)，聘有100多位粤港澳大湾区环境科学、环境工程、安全工程等领域骨干企事业单位的校外导师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555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  <w:shd w:val="clear" w:fill="FFFFFF"/>
        </w:rPr>
        <w:t>学院现有环境科学与工程学院、环境健康与污染控制研究院两个教学科研单位。国家级工程实践教育中心1个、省级实验教学示范中心1个、规范化校外实习基地20个。粤港澳污染物暴露与健康联合实验室、广东省环境催化与健康风险控制重点实验室、广东省教育厅资源综合利用与清洁生产重点实验室、广州市环境催化与污染控制重点实验室、广东省固体废物资源化与无害化工程技术研究中心、广东省光催化技术集成与装备工程技术研究中心、广东省工业污染场地修复技术与装备工程技术研究中心等7个省级以上科研平台。凝练了环境生态规划与修复、污染物环境行为与健康效应、环境污染控制理论与技术三大学科方向，重点针对国家和广东省的重大环保需求开展应用基础及产业化研究，形成了基础研究-技术研发-成果应用的完整创新平台体系，着力培养适应经济社会发展及生态环境保护要求、具有创新创业能力的高素质人才。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555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Style w:val="8"/>
          <w:rFonts w:hint="eastAsia" w:ascii="宋体" w:hAnsi="宋体" w:eastAsia="宋体" w:cs="宋体"/>
          <w:color w:val="666666"/>
          <w:sz w:val="24"/>
          <w:szCs w:val="24"/>
        </w:rPr>
        <w:t>一、申请条件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480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（一）为中华人民共和国公民，拥护中国共产党的领导，具有正确的政治方向，热爱祖国，愿意为社会主义现代化建设服务，遵纪守法，品行端正。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480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（二）硕士研究生毕业或已获得硕士学位的人员（在国外留学的需获得教育部留学服务中心出具的学位学历认证）、应届硕士毕业生（最迟须在入学前毕业或取得硕士学位）、达到与硕士毕业生同等学力的人员（博士入学当年 9 月 1 日前获得学士学位满 6 年，且已修完硕士研究生8门以上主干课程），硕士课程成绩优良，对科学研究有浓厚兴趣，具有较强创新精神和科研、实践能力。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555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（三）英语水平应达到以下条件之一：托福（TOEFL）≥80 或雅思（IELTS）≥5.5 或大学英语四级（CET-4）≥425，GMAT、GRE 和其他语种可参照此标准（小语种申请者入学后必须以英语为第一外语）；或已在英文国际期刊上以第一作者（或导师第一、本人第二）发表过英文学术论文；或在国外留学并获得教育部留学服务中心出具的学位学历认证；或参加并通过学校组织的英语水平测试。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480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（四）学术成果应达到以下条件之一：硕士生在学期间以第一作者（或导师第一、本人第二）发表（含已录用）1 篇以上（含 1 篇）与所报考学科专业领域相关的学术论文；或以第一申请人（或导师第一、本人第二）提出 1 项以上（含 1 项）与所报考学科专业领域相关的发明专利申请，并已经国家知识产权局受理；或经学院学位评议组鉴定说明的可以体现研究潜质的其他创新成果。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480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注：应届硕士毕业生的学术成果以硕士生在学期间为限，其他申请者的学术成果以自提交报名材料起近5年内为限。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480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（五）具有与所申请攻读博士学位相关的学科专业或工作经历背景。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480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（六）有至少两名所报考学科专业领域内的正高职称专家的书面推荐意见，所报考的博士生导师不能作为推荐人。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480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（七）身体和心理健康状况符合我校要求。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555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Style w:val="8"/>
          <w:rFonts w:hint="eastAsia" w:ascii="宋体" w:hAnsi="宋体" w:eastAsia="宋体" w:cs="宋体"/>
          <w:color w:val="666666"/>
          <w:sz w:val="24"/>
          <w:szCs w:val="24"/>
        </w:rPr>
        <w:t>二、招生程序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555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（一）网上报名及缴费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555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符合条件的申请者须在2024年1月3日-2024年2月23日登录“中国研究生招生信息网”（网址：</w:t>
      </w:r>
      <w:r>
        <w:rPr>
          <w:rFonts w:hint="eastAsia" w:ascii="宋体" w:hAnsi="宋体" w:eastAsia="宋体" w:cs="宋体"/>
          <w:color w:val="666666"/>
          <w:sz w:val="24"/>
          <w:szCs w:val="24"/>
          <w:u w:val="none"/>
        </w:rPr>
        <w:fldChar w:fldCharType="begin"/>
      </w:r>
      <w:r>
        <w:rPr>
          <w:rFonts w:hint="eastAsia" w:ascii="宋体" w:hAnsi="宋体" w:eastAsia="宋体" w:cs="宋体"/>
          <w:color w:val="666666"/>
          <w:sz w:val="24"/>
          <w:szCs w:val="24"/>
          <w:u w:val="none"/>
        </w:rPr>
        <w:instrText xml:space="preserve"> HYPERLINK "http://yz.chsi.com.cn/bsbm" </w:instrText>
      </w:r>
      <w:r>
        <w:rPr>
          <w:rFonts w:hint="eastAsia" w:ascii="宋体" w:hAnsi="宋体" w:eastAsia="宋体" w:cs="宋体"/>
          <w:color w:val="666666"/>
          <w:sz w:val="24"/>
          <w:szCs w:val="24"/>
          <w:u w:val="none"/>
        </w:rPr>
        <w:fldChar w:fldCharType="separate"/>
      </w:r>
      <w:r>
        <w:rPr>
          <w:rStyle w:val="10"/>
          <w:rFonts w:hint="eastAsia" w:ascii="宋体" w:hAnsi="宋体" w:eastAsia="宋体" w:cs="宋体"/>
          <w:color w:val="000000"/>
          <w:sz w:val="24"/>
          <w:szCs w:val="24"/>
          <w:u w:val="none"/>
        </w:rPr>
        <w:t>http://yz.chsi.com.cn/bsbm</w:t>
      </w:r>
      <w:r>
        <w:rPr>
          <w:rFonts w:hint="eastAsia" w:ascii="宋体" w:hAnsi="宋体" w:eastAsia="宋体" w:cs="宋体"/>
          <w:color w:val="666666"/>
          <w:sz w:val="24"/>
          <w:szCs w:val="24"/>
          <w:u w:val="none"/>
        </w:rPr>
        <w:fldChar w:fldCharType="end"/>
      </w:r>
      <w:r>
        <w:rPr>
          <w:rFonts w:hint="eastAsia" w:ascii="宋体" w:hAnsi="宋体" w:eastAsia="宋体" w:cs="宋体"/>
          <w:color w:val="666666"/>
          <w:sz w:val="24"/>
          <w:szCs w:val="24"/>
        </w:rPr>
        <w:t>）进行网上报名，同时按规定缴纳报名考试费200元。报名期间，考生可自行修改网上报名信息或重新填报报名信息，但一位考生只能最终确认一条有效报名信息。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555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（二）网报信息确认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555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网上报名成功后，考生须在2024年2月24日-3月1日通过“广东工业大学研究生招生信息网”（网址：</w:t>
      </w:r>
      <w:r>
        <w:rPr>
          <w:rFonts w:hint="eastAsia" w:ascii="宋体" w:hAnsi="宋体" w:eastAsia="宋体" w:cs="宋体"/>
          <w:color w:val="666666"/>
          <w:sz w:val="24"/>
          <w:szCs w:val="24"/>
          <w:u w:val="none"/>
        </w:rPr>
        <w:fldChar w:fldCharType="begin"/>
      </w:r>
      <w:r>
        <w:rPr>
          <w:rFonts w:hint="eastAsia" w:ascii="宋体" w:hAnsi="宋体" w:eastAsia="宋体" w:cs="宋体"/>
          <w:color w:val="666666"/>
          <w:sz w:val="24"/>
          <w:szCs w:val="24"/>
          <w:u w:val="none"/>
        </w:rPr>
        <w:instrText xml:space="preserve"> HYPERLINK "http://yzw.gdut.edu.cn/" </w:instrText>
      </w:r>
      <w:r>
        <w:rPr>
          <w:rFonts w:hint="eastAsia" w:ascii="宋体" w:hAnsi="宋体" w:eastAsia="宋体" w:cs="宋体"/>
          <w:color w:val="666666"/>
          <w:sz w:val="24"/>
          <w:szCs w:val="24"/>
          <w:u w:val="none"/>
        </w:rPr>
        <w:fldChar w:fldCharType="separate"/>
      </w:r>
      <w:r>
        <w:rPr>
          <w:rStyle w:val="10"/>
          <w:rFonts w:hint="eastAsia" w:ascii="宋体" w:hAnsi="宋体" w:eastAsia="宋体" w:cs="宋体"/>
          <w:color w:val="000000"/>
          <w:sz w:val="24"/>
          <w:szCs w:val="24"/>
          <w:u w:val="none"/>
        </w:rPr>
        <w:t>http://yzw.gdut.edu.cn</w:t>
      </w:r>
      <w:r>
        <w:rPr>
          <w:rFonts w:hint="eastAsia" w:ascii="宋体" w:hAnsi="宋体" w:eastAsia="宋体" w:cs="宋体"/>
          <w:color w:val="666666"/>
          <w:sz w:val="24"/>
          <w:szCs w:val="24"/>
          <w:u w:val="none"/>
        </w:rPr>
        <w:fldChar w:fldCharType="end"/>
      </w:r>
      <w:r>
        <w:rPr>
          <w:rFonts w:hint="eastAsia" w:ascii="宋体" w:hAnsi="宋体" w:eastAsia="宋体" w:cs="宋体"/>
          <w:color w:val="666666"/>
          <w:sz w:val="24"/>
          <w:szCs w:val="24"/>
        </w:rPr>
        <w:t>，以下简称“我校研招网”）的“网报确认”端口进行网报信息确认。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555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同时，考生须按要求备齐申请材料，于2024年2月29日至3月10日期间寄（交）至我院研究生教务办公室（具体通讯信息见第五点，请提前扫描并留存相关材料电子版以便网报信息确认使用），如通过邮寄方式必须使用邮政特快专递（EMS）。未按时进行报名考试费缴纳、网报信息确认及寄送材料的考生视为放弃报名。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555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申请材料需提供如下：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555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1．《博士学位研究生网上报名信息简表》（考生登录“中国研究生招生信息网”进行网上报名，打印后本人签名确认）。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555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2．《广东工业大学博士研究生报考登记表》（请见附件1），按要求填写与提供表中所需材料（含政审表）。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555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3．二级甲等以上医院出具的体检结果（体检指引请见附件2）。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555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（三）心理测试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555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考生须于2024年2月24日-3月1日参加我校线上心理测评，具体指引请见附件3。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555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（四）资格审查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555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学院收到申请材料后，将按照学校及学院的相应申请条件进行资格审查，资格审查通过者方可进入下一轮选拔程序，资格审查结果初定于3月上旬在学院网站发布。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555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学院根据报名人数与招生计划情况，将研究确定是否在综合考核之前设置材料评审环节，择优确定进入综合考核环节名单。具体请见学院届时有关通知。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555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（五）综合考核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555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一般包括专业课笔试、外语听说能力测试、综合素质与专业知识面试。考核时间初定3-5月，具体请留意学院届时有关通知。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555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1．专业课笔试（满分 100 分），主要考察考生对报考学科（领域）专业理论与技能及相关知识的掌握程度。同等学力考生还须另外加试（笔试）两门本专业硕士学位主干课程，不合格者不予录取。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555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2．外语听说能力测试（满分 100 分），主要考察考生英语运用能力的掌握程度，在综合素质与专业知识面试环节同时进行。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555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3．综合素质与专业知识面试（满分 100 分），主要考查考生综合运用所学知识的能力、科研创新能力、对本学科前沿领域及最新研究动态的掌握情况等，加强对考生思想政治素质与品德、专业素养、科研潜质、创新能力、一贯表现、心理健康及其他综合素质等情况的全面考查。学生汇报采用PPT的方式进行，汇报内容包括但不限于个人情况、学习情况、科研经历、成果展示等，每人不超过15分钟，其中英文汇报时间不少于5分钟。学生汇报之后，由老师进行中英文提问。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555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（六）录取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480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按照专业知识成绩占30%、外语能力成绩占20%、综合素质成绩占50%的权重计算出综合考核成绩。根据考生的综合考核结果、思想政治表现、身心健康状况等，组织导师、考生双向选择，在招生计划范围内择优确定拟录取名单。录取时招生计划可能根据生源情况及教育部最终下达计划适当微调。拟录取名单内的考生如报考导师的招生名额已满，将由学院组织其他导师与考生双向选择，达成双向选择者方可录取。学院可以根据实际情况，决定是否需要开展后续批次博士研究生的招生工作。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480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思想政治素质和品德考核不合格、综合考核不合格、同等学力加试成绩不合格、报考资格不符合规定、未参加复试或复试不合格、提供虚假信息者，不予录取。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480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Style w:val="8"/>
          <w:rFonts w:hint="eastAsia" w:ascii="宋体" w:hAnsi="宋体" w:eastAsia="宋体" w:cs="宋体"/>
          <w:color w:val="666666"/>
          <w:sz w:val="24"/>
          <w:szCs w:val="24"/>
        </w:rPr>
        <w:t>三、学习方式、学制与就业方式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480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（一）学习方式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555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学习方式为全日制。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480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（二）学制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480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申请考核生的学制为4年。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480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（三）就业方式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555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分为非定向就业和定向就业两种。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555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非定向就业博士研究生入学前须将人事档案与组织关系转入学校。报考前已工作的在职考生，在录取名单公示前应提供从原单位离职的证明材料。毕业时自主择业，按国家和学校有关就业政策办理派遣手续。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555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定向就业博士研究生入学前须与我校和用人单位签订定向就业协议。定向就业博士研究生档案、人事、户口、工资关系不转入我校，毕业后回定向单位就业。学院从严控制定向就业博士研究生招收人数。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480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Style w:val="8"/>
          <w:rFonts w:hint="eastAsia" w:ascii="宋体" w:hAnsi="宋体" w:eastAsia="宋体" w:cs="宋体"/>
          <w:color w:val="666666"/>
          <w:sz w:val="24"/>
          <w:szCs w:val="24"/>
        </w:rPr>
        <w:t>四、学费标准与奖助学金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555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博士研究生的学费及奖助金标准按照学校有关规定执行。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480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Style w:val="8"/>
          <w:rFonts w:hint="eastAsia" w:ascii="宋体" w:hAnsi="宋体" w:eastAsia="宋体" w:cs="宋体"/>
          <w:color w:val="666666"/>
          <w:sz w:val="24"/>
          <w:szCs w:val="24"/>
        </w:rPr>
        <w:t>五、其他事项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555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（一）考生必须保证申请材料的真实性和准确性，如有提交虚假材料、作弊及其他违纪行为，按《国家教育考试违规处理办法》（教育部令第33号）和学校有关文件处理。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555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（二）各类报名申请材料如无特别说明，均只需提供复印件，原件将于综合考核环节复审，所有报名材料提交后概不退还。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555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（三）本细则未尽事宜由环境科学与工程学院负责解释。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555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（四）请考生及时留意我校研招网和我院网站的有关博士研究生招生信息。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555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（五）通讯方式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555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联系部门：环境科学与工程学院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555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联系地址：广州市番禺区广州大学城外环西路100号广东工业大学工学三号馆203（邮编：510006）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555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联系电话：020—39322296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555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电子邮箱：hjyjs@gdut.edu.cn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555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附件：1．广东工业大学博士研究生报考登记表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840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2．博士研究生招生体检指引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 w:firstLine="840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3. 心理测评指引</w:t>
      </w:r>
    </w:p>
    <w:p>
      <w:pPr>
        <w:pStyle w:val="5"/>
        <w:keepNext w:val="0"/>
        <w:keepLines w:val="0"/>
        <w:widowControl/>
        <w:suppressLineNumbers w:val="0"/>
        <w:spacing w:before="225" w:beforeAutospacing="0" w:after="225" w:afterAutospacing="0" w:line="510" w:lineRule="atLeast"/>
        <w:ind w:left="0" w:right="0"/>
        <w:jc w:val="left"/>
        <w:rPr>
          <w:rFonts w:hint="eastAsia" w:ascii="宋体" w:hAnsi="宋体" w:eastAsia="宋体" w:cs="宋体"/>
          <w:color w:val="666666"/>
          <w:sz w:val="24"/>
          <w:szCs w:val="24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07BD0F4A"/>
    <w:rsid w:val="07BD0F4A"/>
    <w:rsid w:val="09C94B9B"/>
    <w:rsid w:val="100449D5"/>
    <w:rsid w:val="2411343C"/>
    <w:rsid w:val="26E157D9"/>
    <w:rsid w:val="27AE16A9"/>
    <w:rsid w:val="57F347D8"/>
    <w:rsid w:val="6437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4D4C4C"/>
      <w:u w:val="none"/>
    </w:rPr>
  </w:style>
  <w:style w:type="character" w:styleId="10">
    <w:name w:val="Hyperlink"/>
    <w:basedOn w:val="7"/>
    <w:uiPriority w:val="0"/>
    <w:rPr>
      <w:color w:val="4D4C4C"/>
      <w:u w:val="none"/>
    </w:rPr>
  </w:style>
  <w:style w:type="character" w:customStyle="1" w:styleId="11">
    <w:name w:val="item-name"/>
    <w:basedOn w:val="7"/>
    <w:uiPriority w:val="0"/>
    <w:rPr>
      <w:bdr w:val="none" w:color="auto" w:sz="0" w:space="0"/>
      <w:shd w:val="clear" w:fill="A8253D"/>
    </w:rPr>
  </w:style>
  <w:style w:type="character" w:customStyle="1" w:styleId="12">
    <w:name w:val="item-name1"/>
    <w:basedOn w:val="7"/>
    <w:uiPriority w:val="0"/>
    <w:rPr>
      <w:shd w:val="clear" w:fill="A8253D"/>
    </w:rPr>
  </w:style>
  <w:style w:type="character" w:customStyle="1" w:styleId="13">
    <w:name w:val="item-name2"/>
    <w:basedOn w:val="7"/>
    <w:uiPriority w:val="0"/>
    <w:rPr>
      <w:bdr w:val="none" w:color="auto" w:sz="0" w:space="0"/>
    </w:rPr>
  </w:style>
  <w:style w:type="character" w:customStyle="1" w:styleId="14">
    <w:name w:val="item-name3"/>
    <w:basedOn w:val="7"/>
    <w:uiPriority w:val="0"/>
    <w:rPr>
      <w:bdr w:val="none" w:color="auto" w:sz="0" w:space="0"/>
    </w:rPr>
  </w:style>
  <w:style w:type="character" w:customStyle="1" w:styleId="15">
    <w:name w:val="item-name4"/>
    <w:basedOn w:val="7"/>
    <w:uiPriority w:val="0"/>
    <w:rPr>
      <w:bdr w:val="none" w:color="auto" w:sz="0" w:space="0"/>
    </w:rPr>
  </w:style>
  <w:style w:type="character" w:customStyle="1" w:styleId="16">
    <w:name w:val="item-name5"/>
    <w:basedOn w:val="7"/>
    <w:uiPriority w:val="0"/>
    <w:rPr>
      <w:bdr w:val="none" w:color="auto" w:sz="0" w:space="0"/>
    </w:rPr>
  </w:style>
  <w:style w:type="character" w:customStyle="1" w:styleId="17">
    <w:name w:val="news_meta"/>
    <w:basedOn w:val="7"/>
    <w:uiPriority w:val="0"/>
  </w:style>
  <w:style w:type="character" w:customStyle="1" w:styleId="18">
    <w:name w:val="column-name12"/>
    <w:basedOn w:val="7"/>
    <w:uiPriority w:val="0"/>
    <w:rPr>
      <w:color w:val="124D83"/>
    </w:rPr>
  </w:style>
  <w:style w:type="character" w:customStyle="1" w:styleId="19">
    <w:name w:val="column-name13"/>
    <w:basedOn w:val="7"/>
    <w:uiPriority w:val="0"/>
    <w:rPr>
      <w:color w:val="124D83"/>
    </w:rPr>
  </w:style>
  <w:style w:type="character" w:customStyle="1" w:styleId="20">
    <w:name w:val="column-name14"/>
    <w:basedOn w:val="7"/>
    <w:uiPriority w:val="0"/>
    <w:rPr>
      <w:color w:val="124D83"/>
    </w:rPr>
  </w:style>
  <w:style w:type="character" w:customStyle="1" w:styleId="21">
    <w:name w:val="column-name15"/>
    <w:basedOn w:val="7"/>
    <w:uiPriority w:val="0"/>
    <w:rPr>
      <w:color w:val="124D83"/>
    </w:rPr>
  </w:style>
  <w:style w:type="character" w:customStyle="1" w:styleId="22">
    <w:name w:val="site_name1"/>
    <w:basedOn w:val="7"/>
    <w:uiPriority w:val="0"/>
    <w:rPr>
      <w:b/>
      <w:bCs/>
      <w:color w:val="A8253D"/>
      <w:sz w:val="64"/>
      <w:szCs w:val="6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2024-01-12T01:13:00Z</dcterms:created>
  <dc:creator>WPS_1663235086</dc:creator>
  <cp:lastModifiedBy>WPS_1663235086</cp:lastModifiedBy>
  <dcterms:modified xsi:type="dcterms:W3CDTF">2024-01-12T07:11:38Z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52CF38FE62BE4A5B80F1976EE4B1A26E_13</vt:lpwstr>
  </property>
</Properties>
</file>