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cs="微软雅黑"/>
          <w:i w:val="0"/>
          <w:iCs w:val="0"/>
          <w:caps w:val="0"/>
          <w:color w:val="000000"/>
          <w:spacing w:val="0"/>
          <w:sz w:val="45"/>
          <w:szCs w:val="45"/>
          <w:shd w:val="clear" w:fill="FFFFFF"/>
        </w:rPr>
      </w:pPr>
      <w:r>
        <w:rPr>
          <w:rFonts w:ascii="微软雅黑" w:hAnsi="微软雅黑" w:eastAsia="微软雅黑" w:cs="微软雅黑"/>
          <w:i w:val="0"/>
          <w:iCs w:val="0"/>
          <w:caps w:val="0"/>
          <w:color w:val="000000"/>
          <w:spacing w:val="0"/>
          <w:sz w:val="45"/>
          <w:szCs w:val="45"/>
          <w:shd w:val="clear" w:fill="FFFFFF"/>
        </w:rPr>
        <w:t>2024年中国人民大学高瓴人工智能学院博士研究生招生简章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为加强对考生以往学习情况、科研水平、学术成绩的考评，强化对考生创新能力、学术潜力和学术兴趣的考察，充分发挥学院和导师在博士生选拔过程中的自主权，探索符合各层次创新拔尖人才选拔特点的博士生人才选拔模式，根据学校相关规定，特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Style w:val="8"/>
          <w:rFonts w:hint="eastAsia" w:ascii="微软雅黑" w:hAnsi="微软雅黑" w:eastAsia="微软雅黑" w:cs="微软雅黑"/>
          <w:b/>
          <w:bCs/>
          <w:i w:val="0"/>
          <w:iCs w:val="0"/>
          <w:caps w:val="0"/>
          <w:color w:val="000000"/>
          <w:spacing w:val="0"/>
          <w:sz w:val="28"/>
          <w:szCs w:val="28"/>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招生工作要自始至终贯彻科学选拔、公平公正、全面考察、客观评价、公开透明的原则，如考生在报考过程中有任何徇私舞弊、弄虚作假的行为，一经查实即取消录取资格。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Style w:val="8"/>
          <w:rFonts w:hint="eastAsia" w:ascii="微软雅黑" w:hAnsi="微软雅黑" w:eastAsia="微软雅黑" w:cs="微软雅黑"/>
          <w:b/>
          <w:bCs/>
          <w:i w:val="0"/>
          <w:iCs w:val="0"/>
          <w:caps w:val="0"/>
          <w:color w:val="000000"/>
          <w:spacing w:val="0"/>
          <w:sz w:val="28"/>
          <w:szCs w:val="28"/>
          <w:bdr w:val="none" w:color="auto" w:sz="0" w:space="0"/>
          <w:shd w:val="clear" w:fill="FFFFFF"/>
        </w:rPr>
        <w:t>二、选拔模式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所有报考我院的考生均采取“申请-考核制”的模式进行选拔，即考生申请并报名后，由学院对报名考生提交的材料进行集体审核评议，通过审核的考生方可进入复试阶段，复试阶段将进行综合考试，内容包括外语水平、专业知识和综合素质三方面，重点考察考生的学术基础、学术潜力和学术规划。我院党组织负责面试环节组织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Style w:val="8"/>
          <w:rFonts w:hint="eastAsia" w:ascii="微软雅黑" w:hAnsi="微软雅黑" w:eastAsia="微软雅黑" w:cs="微软雅黑"/>
          <w:b/>
          <w:bCs/>
          <w:i w:val="0"/>
          <w:iCs w:val="0"/>
          <w:caps w:val="0"/>
          <w:color w:val="000000"/>
          <w:spacing w:val="0"/>
          <w:sz w:val="28"/>
          <w:szCs w:val="28"/>
          <w:bdr w:val="none" w:color="auto" w:sz="0" w:space="0"/>
          <w:shd w:val="clear" w:fill="FFFFFF"/>
        </w:rPr>
        <w:t>三、组织管理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成立学院招生工作领导小组,负责本学院“申请-考核制”博士生招生工作管理办法的制定。我院确定材料审核组、命题组、评卷组和综合考核组成员，开展材料审核工作、命题工作及综合考核工作，确定推荐名单及递补名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Style w:val="8"/>
          <w:rFonts w:hint="eastAsia" w:ascii="微软雅黑" w:hAnsi="微软雅黑" w:eastAsia="微软雅黑" w:cs="微软雅黑"/>
          <w:b/>
          <w:bCs/>
          <w:i w:val="0"/>
          <w:iCs w:val="0"/>
          <w:caps w:val="0"/>
          <w:color w:val="000000"/>
          <w:spacing w:val="0"/>
          <w:sz w:val="28"/>
          <w:szCs w:val="28"/>
          <w:bdr w:val="none" w:color="auto" w:sz="0" w:space="0"/>
          <w:shd w:val="clear" w:fill="FFFFFF"/>
        </w:rPr>
        <w:t>四、工作程序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报考我院的考生（含普通招考、硕博连读和推免直博生）须在我校指定的博士生网上报名系统中提交报名信息，并网上支付报名费。报考条件、报考类别、报名时间请参见《中国人民大学2024年招收攻读博士学位研究生简章》。</w:t>
      </w:r>
      <w:r>
        <w:rPr>
          <w:rStyle w:val="8"/>
          <w:rFonts w:hint="eastAsia" w:ascii="微软雅黑" w:hAnsi="微软雅黑" w:eastAsia="微软雅黑" w:cs="微软雅黑"/>
          <w:b/>
          <w:bCs/>
          <w:i w:val="0"/>
          <w:iCs w:val="0"/>
          <w:caps w:val="0"/>
          <w:color w:val="000000"/>
          <w:spacing w:val="0"/>
          <w:sz w:val="30"/>
          <w:szCs w:val="30"/>
          <w:u w:val="single"/>
          <w:bdr w:val="none" w:color="auto" w:sz="0" w:space="0"/>
          <w:shd w:val="clear" w:fill="FFFFFF"/>
        </w:rPr>
        <w:t>报名时间2023年12月8日-2024年1月5日。</w:t>
      </w:r>
      <w:r>
        <w:rPr>
          <w:rFonts w:hint="eastAsia" w:ascii="微软雅黑" w:hAnsi="微软雅黑" w:eastAsia="微软雅黑" w:cs="微软雅黑"/>
          <w:i w:val="0"/>
          <w:iCs w:val="0"/>
          <w:caps w:val="0"/>
          <w:color w:val="000000"/>
          <w:spacing w:val="0"/>
          <w:sz w:val="28"/>
          <w:szCs w:val="28"/>
          <w:bdr w:val="none" w:color="auto" w:sz="0" w:space="0"/>
          <w:shd w:val="clear" w:fill="FFFFFF"/>
        </w:rPr>
        <w:t>详见中国人民大学2024年博士生招生专业目录（网址：</w: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begin"/>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instrText xml:space="preserve"> HYPERLINK "http://pgs.ruc.edu.cn/" \t "http://ai.ruc.edu.cn/newslist/notice/_blank" </w:instrTex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7AB7"/>
          <w:spacing w:val="0"/>
          <w:sz w:val="28"/>
          <w:szCs w:val="28"/>
          <w:u w:val="none"/>
          <w:bdr w:val="none" w:color="auto" w:sz="0" w:space="0"/>
          <w:shd w:val="clear" w:fill="FFFFFF"/>
        </w:rPr>
        <w:t>http://pgs.ruc.edu.cn/</w: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（1）根据学校统一政策安排，我院博士生按专业开展大类招生，报名时仅填报专业，不填报导师或研究方向。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（2）我院只接收录取类别为非定向（全日制）的考生报考。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（二）提交申请材料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快递材料：（申请材料按以下编号顺序编号并排序）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 邮寄时间：</w:t>
      </w:r>
      <w:r>
        <w:rPr>
          <w:rStyle w:val="8"/>
          <w:rFonts w:hint="eastAsia" w:ascii="微软雅黑" w:hAnsi="微软雅黑" w:eastAsia="微软雅黑" w:cs="微软雅黑"/>
          <w:b/>
          <w:bCs/>
          <w:i w:val="0"/>
          <w:iCs w:val="0"/>
          <w:caps w:val="0"/>
          <w:color w:val="000000"/>
          <w:spacing w:val="0"/>
          <w:sz w:val="30"/>
          <w:szCs w:val="30"/>
          <w:u w:val="single"/>
          <w:bdr w:val="none" w:color="auto" w:sz="0" w:space="0"/>
          <w:shd w:val="clear" w:fill="FFFFFF"/>
        </w:rPr>
        <w:t>不晚于2024年1月5日寄出</w:t>
      </w:r>
      <w:r>
        <w:rPr>
          <w:rFonts w:hint="eastAsia" w:ascii="微软雅黑" w:hAnsi="微软雅黑" w:eastAsia="微软雅黑" w:cs="微软雅黑"/>
          <w:i w:val="0"/>
          <w:iCs w:val="0"/>
          <w:caps w:val="0"/>
          <w:color w:val="000000"/>
          <w:spacing w:val="0"/>
          <w:sz w:val="30"/>
          <w:szCs w:val="30"/>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 邮寄方式：只接受顺丰快递，不接受到付。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（3） 邮寄地址：北京市海淀区中关村大街59号立德楼1705室，李老师收，邮编：100872，电话：010-62516022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A基础材料类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 博士研究生报名登记表(内容在学信网下载，封面封底在“必读材料”下载，报考非定向的考生，单位人事部门意见无需填写)；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（2）证明外语能力的外语成绩单原件及复印件，包括但不限于以下成绩：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英语：大学英语六级（CET6）、全国英语等级考试第五级（PETS5）、托福（TOEFL）、GRE、GMAT、雅思（IELTS）。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（3）本科、硕士阶段的成绩单原件及复印件； 成绩单需学校教务部门盖章，学院盖章无效。往届生成绩单如果是档案中的复印件，需要档案寄存单位的公章；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4）学历、学位证书复印件及《学历电子注册备案表》、《学籍电子注册备案表》（可在中国高等教育学生信息网上实名注册并申请），境外接受高等教育的往届硕士毕业生还需提交教育部留学服务认证的学历证书认证书。应届硕士生须在入学报到后补交以上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5）两名与报考学科有关的教授或相当职称(正高职)的专家推荐书（专家推荐书选用我院制定的，空白模板见附件2。专家推荐书必须用信封密封，并由推荐专家在封口处签名。未密封、未签名的专家推荐书，一律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B学术材料类（装订成册）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（1）个人陈述（内容包括个人学习及学术研究经历、所取得的成就、报考动机、未来发展构想等；无固定模板，由考生自由发挥撰写， 总字数不得超过5000字）；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（2）科研情况一览表（见附件1）；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3）博士生学习期间的研究构想（内容包含拟研究的问题、知识储备、创新点、研究框架、研究方法、主要参考文献等；无固定模板。由考生自由发挥撰写，总字数不得超过10000字），研究构想须由考生亲笔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（4）代表作原件1篇（含未发表的工作论文和学位论文等，如代表作为硕士学位论文，无需重复提交）；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（5）硕士学位论文（应届毕业硕士生可提交论文摘要和目录等，字数不少于1000字，硕博直通学生可不提交）；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注：考生所提交的材料不再退还，如有需要请自行复印留存。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（三）复试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我院实行差额复试，具体时间和地点根据学校要求将在我院网站另行通知。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1.复试内容：采用笔试和面试两种考核形式。面试过程中我院组织思想政治素质考核面试，加强对考生的政治态度、思想表现、道德品质等方面表现的了解。思想政治素质考核面试成绩不计入面试总成绩，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2、笔试：限时闭卷考试，满分150分。包括：程序设计、数据结构与算法满分100分；专业外语满分50分。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3、面试：满分150分。其中，数学、计算机、人工智能专业综合能力满分100分、外语听、说及综合能力满分50分。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4、复试成绩计算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专业课笔试60分（含）以上，专业外语笔试30分（含）以上，数学、计算机、人工智能专业综合能力60分（含）以上，外语听、说及综合能力30分（含）以上，为复试合格。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复试各项成绩均合格的考生，将复试各项成绩加权求和计算复试总成绩，其中，外语水平（专业外语笔试，外语听、说及综合能力面试）、专业水平（专业课笔试）、综合素质（数学、计算机、人工智能专业综合能力面试）考核权重分别为20%、40%、40%。复试总成绩为拟录取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总分（100分）=外语水平*20%+专业水平*40%+综合素质*40%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我院将视实际情况调整复试安排，具体请以后续官网发布的申请-考核制博士研究生招生考试复试考核办法为准。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5.应届硕士毕业生复试时要签署“承诺书”，承诺在校期间未受过任何处分，各科成绩合格，能够按期取得硕士毕业证、硕士学位证。考生复试时须持有效期内的本人身份证原件和硕士学历证书、学位证书原件（应届双证硕士生持学生证，要求每学期均注册）。境外接受高等教育的往届硕士毕业生还须提交教育部留学服务中心认证的学历证书认证书。入学报到时，应届硕士毕业生如不能提交硕士毕业证书、硕士学位证书原件（境外接受高等教育的应届硕士毕业生如不能提交教育部留学服务中心认证的学历学位认证书），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6．我院认为必要时，可再次组织复试。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Style w:val="8"/>
          <w:rFonts w:hint="eastAsia" w:ascii="微软雅黑" w:hAnsi="微软雅黑" w:eastAsia="微软雅黑" w:cs="微软雅黑"/>
          <w:b/>
          <w:bCs/>
          <w:i w:val="0"/>
          <w:iCs w:val="0"/>
          <w:caps w:val="0"/>
          <w:color w:val="000000"/>
          <w:spacing w:val="0"/>
          <w:sz w:val="28"/>
          <w:szCs w:val="28"/>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复试不合格者不予录取；复试期间发现考生不符合报考条件、或替考、或政治思想道德状况不符合录取要求、或弄虚作假的，视为复试不合格，不予录取；体检不合格经复查仍不符合规定条件的，不予录取。学术不端者，一经发现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学院将根据《中国人民大学博士研究生录取工作管理办法》和《中国人民大学博士研究生招生计划管理办法》等相关文件制定具体复试办法并开展录取工作。根据加权成绩等综合因素，确定拟录取名单，提交校研究生招生委员会审议。审议通过的名单，在校研招网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Style w:val="8"/>
          <w:rFonts w:hint="eastAsia" w:ascii="微软雅黑" w:hAnsi="微软雅黑" w:eastAsia="微软雅黑" w:cs="微软雅黑"/>
          <w:b/>
          <w:bCs/>
          <w:i w:val="0"/>
          <w:iCs w:val="0"/>
          <w:caps w:val="0"/>
          <w:color w:val="000000"/>
          <w:spacing w:val="0"/>
          <w:sz w:val="28"/>
          <w:szCs w:val="28"/>
          <w:bdr w:val="none" w:color="auto" w:sz="0" w:space="0"/>
          <w:shd w:val="clear" w:fill="FFFFFF"/>
        </w:rPr>
        <w:t>六、咨询详情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地址：北京市海淀区中关村大街59号中国人民大学立德楼1705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邮编：100872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联系人：李老师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电话：010-62516022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email：20199221@ruc.edu.cn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办公地点：中国人民大学立德楼1705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高瓴人工智能学院网站：</w: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begin"/>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instrText xml:space="preserve"> HYPERLINK "http://ai.ruc.edu.cn/" \t "http://ai.ruc.edu.cn/newslist/notice/_blank" </w:instrTex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7AB7"/>
          <w:spacing w:val="0"/>
          <w:sz w:val="28"/>
          <w:szCs w:val="28"/>
          <w:u w:val="none"/>
          <w:bdr w:val="none" w:color="auto" w:sz="0" w:space="0"/>
          <w:shd w:val="clear" w:fill="FFFFFF"/>
        </w:rPr>
        <w:t>http://ai.ruc.edu.cn/</w: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end"/>
      </w:r>
      <w:r>
        <w:rPr>
          <w:rFonts w:hint="eastAsia" w:ascii="微软雅黑" w:hAnsi="微软雅黑" w:eastAsia="微软雅黑" w:cs="微软雅黑"/>
          <w:i w:val="0"/>
          <w:iCs w:val="0"/>
          <w:caps w:val="0"/>
          <w:color w:val="000000"/>
          <w:spacing w:val="0"/>
          <w:sz w:val="28"/>
          <w:szCs w:val="28"/>
          <w:bdr w:val="none" w:color="auto" w:sz="0" w:space="0"/>
          <w:shd w:val="clear" w:fill="FFFFFF"/>
        </w:rPr>
        <w:t>（将在学院网站公告博士复试名单等相关信息。）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欢迎报考中国人民大学高瓴人工智能学院博士研究生！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begin"/>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instrText xml:space="preserve"> HYPERLINK "http://ai.ruc.edu.cn/docs/2023-12/2ea401a7e64a40149b0698aab1fca2d8.doc" \t "http://ai.ruc.edu.cn/newslist/notice/_blank" </w:instrTex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7AB7"/>
          <w:spacing w:val="0"/>
          <w:sz w:val="28"/>
          <w:szCs w:val="28"/>
          <w:u w:val="none"/>
          <w:bdr w:val="none" w:color="auto" w:sz="0" w:space="0"/>
          <w:shd w:val="clear" w:fill="FFFFFF"/>
        </w:rPr>
        <w:t>附件1：科研情况一览表</w: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begin"/>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instrText xml:space="preserve"> HYPERLINK "http://ai.ruc.edu.cn/docs/2023-12/92498a8cb51c44a5a0161919cbd1303d.doc" \t "http://ai.ruc.edu.cn/newslist/notice/_blank" </w:instrTex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separate"/>
      </w:r>
      <w:r>
        <w:rPr>
          <w:rStyle w:val="9"/>
          <w:rFonts w:hint="eastAsia" w:ascii="微软雅黑" w:hAnsi="微软雅黑" w:eastAsia="微软雅黑" w:cs="微软雅黑"/>
          <w:i w:val="0"/>
          <w:iCs w:val="0"/>
          <w:caps w:val="0"/>
          <w:color w:val="337AB7"/>
          <w:spacing w:val="0"/>
          <w:sz w:val="28"/>
          <w:szCs w:val="28"/>
          <w:u w:val="none"/>
          <w:bdr w:val="none" w:color="auto" w:sz="0" w:space="0"/>
          <w:shd w:val="clear" w:fill="FFFFFF"/>
        </w:rPr>
        <w:t>附件2：导师推荐信</w:t>
      </w:r>
      <w:r>
        <w:rPr>
          <w:rFonts w:hint="eastAsia" w:ascii="微软雅黑" w:hAnsi="微软雅黑" w:eastAsia="微软雅黑" w:cs="微软雅黑"/>
          <w:i w:val="0"/>
          <w:iCs w:val="0"/>
          <w:caps w:val="0"/>
          <w:color w:val="337AB7"/>
          <w:spacing w:val="0"/>
          <w:sz w:val="28"/>
          <w:szCs w:val="28"/>
          <w:u w:val="none"/>
          <w:bdr w:val="none" w:color="auto" w:sz="0" w:space="0"/>
          <w:shd w:val="clear" w:fill="FFFFFF"/>
        </w:rPr>
        <w:fldChar w:fldCharType="end"/>
      </w:r>
    </w:p>
    <w:p>
      <w:pPr>
        <w:jc w:val="left"/>
        <w:rPr>
          <w:rFonts w:hint="eastAsia" w:ascii="微软雅黑" w:hAnsi="微软雅黑" w:eastAsia="微软雅黑" w:cs="微软雅黑"/>
          <w:i w:val="0"/>
          <w:iCs w:val="0"/>
          <w:caps w:val="0"/>
          <w:color w:val="000000"/>
          <w:spacing w:val="0"/>
          <w:sz w:val="45"/>
          <w:szCs w:val="45"/>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ÃƒÂ¥Ã‚Â¾Ã‚Â®ÃƒÂ¨Ã‚Â½Ã‚Â¯ÃƒÂ©Ã¢â‚¬ÂºÃ¢â‚¬Â¦ÃƒÂ©Ã‚Â»Ã¢â‚¬Ëœ">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174F6BCB"/>
    <w:rsid w:val="19C83DDC"/>
    <w:rsid w:val="21097C41"/>
    <w:rsid w:val="2AA270FE"/>
    <w:rsid w:val="2F7A50F2"/>
    <w:rsid w:val="30455AC0"/>
    <w:rsid w:val="315039F4"/>
    <w:rsid w:val="32FB14B1"/>
    <w:rsid w:val="3D5C61B8"/>
    <w:rsid w:val="403B0B6F"/>
    <w:rsid w:val="42D53D36"/>
    <w:rsid w:val="4B560527"/>
    <w:rsid w:val="64076927"/>
    <w:rsid w:val="74031361"/>
    <w:rsid w:val="78846947"/>
    <w:rsid w:val="79585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97F999076CD347ACAF9B7AF8FE8065A3_13</vt:lpwstr>
  </property>
</Properties>
</file>