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EBFF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default"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附件4</w:t>
      </w:r>
    </w:p>
    <w:p w14:paraId="737108F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393A991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少数民族高层次骨干人才</w:t>
      </w: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研究生招生计划</w:t>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br w:type="textWrapping"/>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南疆高校教师专项</w:t>
      </w: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毕业生</w:t>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定向</w:t>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就业</w:t>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协议书</w:t>
      </w:r>
    </w:p>
    <w:p w14:paraId="32B3F4D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（在职考生）</w:t>
      </w:r>
    </w:p>
    <w:p w14:paraId="40CAEFB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p>
    <w:p w14:paraId="48FA0B1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甲方</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32"/>
          <w:szCs w:val="32"/>
          <w:highlight w:val="none"/>
          <w14:textFill>
            <w14:solidFill>
              <w14:schemeClr w14:val="tx1"/>
            </w14:solidFill>
          </w14:textFill>
        </w:rPr>
        <w:t>招生</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培养</w:t>
      </w:r>
      <w:r>
        <w:rPr>
          <w:rFonts w:hint="eastAsia" w:ascii="楷体_GB2312" w:hAnsi="楷体_GB2312" w:eastAsia="楷体_GB2312" w:cs="楷体_GB2312"/>
          <w:color w:val="000000" w:themeColor="text1"/>
          <w:sz w:val="32"/>
          <w:szCs w:val="32"/>
          <w:highlight w:val="none"/>
          <w14:textFill>
            <w14:solidFill>
              <w14:schemeClr w14:val="tx1"/>
            </w14:solidFill>
          </w14:textFill>
        </w:rPr>
        <w:t>单位</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p>
    <w:p w14:paraId="27321200">
      <w:pPr>
        <w:keepNext w:val="0"/>
        <w:keepLines w:val="0"/>
        <w:pageBreakBefore w:val="0"/>
        <w:widowControl w:val="0"/>
        <w:kinsoku/>
        <w:wordWrap/>
        <w:overflowPunct/>
        <w:topLinePunct w:val="0"/>
        <w:autoSpaceDE/>
        <w:autoSpaceDN/>
        <w:bidi w:val="0"/>
        <w:adjustRightInd/>
        <w:snapToGrid/>
        <w:spacing w:line="600" w:lineRule="exact"/>
        <w:ind w:left="3920" w:leftChars="0" w:right="0" w:rightChars="0" w:hanging="3920" w:hangingChars="1225"/>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color w:val="000000" w:themeColor="text1"/>
          <w:sz w:val="32"/>
          <w:szCs w:val="32"/>
          <w:highlight w:val="none"/>
          <w14:textFill>
            <w14:solidFill>
              <w14:schemeClr w14:val="tx1"/>
            </w14:solidFill>
          </w14:textFill>
        </w:rPr>
        <w:t>乙方</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定向</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单位所在省级教育行政部门</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w:t>
      </w:r>
    </w:p>
    <w:p w14:paraId="20D9D24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color w:val="000000" w:themeColor="text1"/>
          <w:sz w:val="32"/>
          <w:szCs w:val="32"/>
          <w:highlight w:val="none"/>
          <w14:textFill>
            <w14:solidFill>
              <w14:schemeClr w14:val="tx1"/>
            </w14:solidFill>
          </w14:textFill>
        </w:rPr>
        <w:t>丙方</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定向生本人</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w:t>
      </w:r>
    </w:p>
    <w:p w14:paraId="199CA9AC">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身份证号：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p>
    <w:p w14:paraId="745CE78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丁</w:t>
      </w:r>
      <w:r>
        <w:rPr>
          <w:rFonts w:hint="default" w:ascii="楷体_GB2312" w:hAnsi="楷体_GB2312" w:eastAsia="楷体_GB2312" w:cs="楷体_GB2312"/>
          <w:color w:val="000000" w:themeColor="text1"/>
          <w:sz w:val="32"/>
          <w:szCs w:val="32"/>
          <w:highlight w:val="none"/>
          <w14:textFill>
            <w14:solidFill>
              <w14:schemeClr w14:val="tx1"/>
            </w14:solidFill>
          </w14:textFill>
        </w:rPr>
        <w:t>方</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定向生本人</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目前就业单位</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w:t>
      </w:r>
    </w:p>
    <w:p w14:paraId="4FCF42F5">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社会机构代码</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p>
    <w:p w14:paraId="43D1DE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pPr>
    </w:p>
    <w:p w14:paraId="1978F1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少数民族高层次骨干人才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计划</w:t>
      </w: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南疆高校教师专项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以下简称南疆高校教师专项）</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，旨在</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为新疆维吾尔自治区南疆地区（包括阿克苏地区、喀什地区、和田地区、巴音郭楞蒙古自治州、克孜勒苏柯尔克孜自治州；兵团第一师、第二师、第三师、第十四师、兵地融合发展草湖项目区）高校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培养优秀</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师资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，鼓励优秀人才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在南疆地区高校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从教。根据相关法律法规</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及</w:t>
      </w: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少数民族高层次骨干人才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研究生招生计划实施政策</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制订本协议，</w:t>
      </w:r>
      <w:r>
        <w:rPr>
          <w:rFonts w:hint="eastAsia" w:ascii="Times New Roman" w:hAnsi="Times New Roman" w:eastAsia="仿宋_GB2312" w:cs="仿宋_GB2312"/>
          <w:color w:val="000000" w:themeColor="text1"/>
          <w:sz w:val="32"/>
          <w:szCs w:val="32"/>
          <w:highlight w:val="none"/>
          <w14:textFill>
            <w14:solidFill>
              <w14:schemeClr w14:val="tx1"/>
            </w14:solidFill>
          </w14:textFill>
        </w:rPr>
        <w:t>甲、乙、丙</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丁四</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方共同遵守</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39ED2A6D">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一、协议签订前提</w:t>
      </w:r>
    </w:p>
    <w:p w14:paraId="2D02C6E1">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lang w:val="en-US" w:eastAsia="zh-CN"/>
          <w14:textFill>
            <w14:solidFill>
              <w14:schemeClr w14:val="tx1"/>
            </w14:solidFill>
          </w14:textFill>
        </w:rPr>
        <w:t>丙</w:t>
      </w:r>
      <w:r>
        <w:rPr>
          <w:rFonts w:hint="eastAsia" w:ascii="仿宋_GB2312" w:hAnsi="宋体" w:eastAsia="仿宋_GB2312"/>
          <w:color w:val="000000" w:themeColor="text1"/>
          <w:sz w:val="32"/>
          <w:szCs w:val="32"/>
          <w:highlight w:val="none"/>
          <w14:textFill>
            <w14:solidFill>
              <w14:schemeClr w14:val="tx1"/>
            </w14:solidFill>
          </w14:textFill>
        </w:rPr>
        <w:t>方具有</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南疆教师专项报考</w:t>
      </w:r>
      <w:r>
        <w:rPr>
          <w:rFonts w:hint="eastAsia" w:ascii="仿宋_GB2312" w:hAnsi="宋体" w:eastAsia="仿宋_GB2312"/>
          <w:color w:val="000000" w:themeColor="text1"/>
          <w:sz w:val="32"/>
          <w:szCs w:val="32"/>
          <w:highlight w:val="none"/>
          <w14:textFill>
            <w14:solidFill>
              <w14:schemeClr w14:val="tx1"/>
            </w14:solidFill>
          </w14:textFill>
        </w:rPr>
        <w:t>资格，</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了解相关政策，</w:t>
      </w:r>
      <w:r>
        <w:rPr>
          <w:rFonts w:hint="eastAsia" w:ascii="仿宋_GB2312" w:hAnsi="宋体" w:eastAsia="仿宋_GB2312"/>
          <w:color w:val="000000" w:themeColor="text1"/>
          <w:sz w:val="32"/>
          <w:szCs w:val="32"/>
          <w:highlight w:val="none"/>
          <w14:textFill>
            <w14:solidFill>
              <w14:schemeClr w14:val="tx1"/>
            </w14:solidFill>
          </w14:textFill>
        </w:rPr>
        <w:t>有志于</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在南疆地区高校</w:t>
      </w:r>
      <w:r>
        <w:rPr>
          <w:rFonts w:hint="eastAsia" w:ascii="仿宋_GB2312" w:hAnsi="宋体" w:eastAsia="仿宋_GB2312"/>
          <w:color w:val="000000" w:themeColor="text1"/>
          <w:sz w:val="32"/>
          <w:szCs w:val="32"/>
          <w:highlight w:val="none"/>
          <w14:textFill>
            <w14:solidFill>
              <w14:schemeClr w14:val="tx1"/>
            </w14:solidFill>
          </w14:textFill>
        </w:rPr>
        <w:t>从教，自愿报考</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南疆高校教师专项</w:t>
      </w:r>
      <w:r>
        <w:rPr>
          <w:rFonts w:hint="eastAsia" w:ascii="仿宋_GB2312" w:hAnsi="宋体" w:eastAsia="仿宋_GB2312"/>
          <w:color w:val="000000" w:themeColor="text1"/>
          <w:sz w:val="32"/>
          <w:szCs w:val="32"/>
          <w:highlight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经乙方</w:t>
      </w:r>
      <w:r>
        <w:rPr>
          <w:rFonts w:hint="eastAsia" w:ascii="仿宋_GB2312" w:hAnsi="宋体" w:eastAsia="仿宋_GB2312"/>
          <w:color w:val="000000" w:themeColor="text1"/>
          <w:sz w:val="32"/>
          <w:szCs w:val="32"/>
          <w:highlight w:val="none"/>
          <w14:textFill>
            <w14:solidFill>
              <w14:schemeClr w14:val="tx1"/>
            </w14:solidFill>
          </w14:textFill>
        </w:rPr>
        <w:t>审核，</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丁方同意，甲方确认丙方符合报考条件。甲方按照研究生招生录取有关规定，录取</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丙方为</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本校</w:t>
      </w: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学院（系、部、所）</w:t>
      </w: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年</w:t>
      </w: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专业□</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全日制/</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 xml:space="preserve">非全日制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硕士/</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博士研究生。</w:t>
      </w:r>
    </w:p>
    <w:p w14:paraId="1F69D1DA">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二、甲方的权利义务</w:t>
      </w:r>
    </w:p>
    <w:p w14:paraId="5C4F1A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按照</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为南疆地区高校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培养优秀</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师资的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目标，制订培养方案，提供优良的教育教学条件，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加强对丙</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教育培养。</w:t>
      </w:r>
    </w:p>
    <w:p w14:paraId="38F3F0E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按研究生学籍管理</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规定</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及时办理</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入学手续并注册学籍，</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普通高等学校学生管理规定</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等</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要求做好</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丙方学习期间</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的管理工作</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4680A3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3. </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丙方学习期满、</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符合毕业条件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后</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，准予</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毕业。</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符合相应学位授予条件，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甲方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授予相应学位。丙方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毕业后，</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甲方将丙方毕业证书、学位证书及就读期间档案等</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集中</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寄送</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丁</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方</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p>
    <w:p w14:paraId="1FCA593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4. </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甲方负责落实丙方毕业去向至</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丁方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按有关规定配合将</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丙方党团组织关系</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等转回丁方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32FD9BCF">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三、乙方的权利义务</w:t>
      </w:r>
    </w:p>
    <w:p w14:paraId="7BDEEAC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shd w:val="clear" w:color="FFFFFF" w:fill="D9D9D9"/>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新疆维吾尔自治区教育厅、新疆生产建设兵团教育局统筹南疆地区高校师资队伍建设需求</w:t>
      </w:r>
      <w:r>
        <w:rPr>
          <w:rFonts w:hint="eastAsia" w:ascii="Times New Roman" w:hAnsi="Times New Roman" w:eastAsia="仿宋_GB2312" w:cs="仿宋_GB2312"/>
          <w:color w:val="000000" w:themeColor="text1"/>
          <w:sz w:val="32"/>
          <w:szCs w:val="32"/>
          <w:highlight w:val="none"/>
          <w:shd w:val="clear" w:color="auto" w:fill="auto"/>
          <w:lang w:val="en-US" w:eastAsia="zh-CN"/>
          <w14:textFill>
            <w14:solidFill>
              <w14:schemeClr w14:val="tx1"/>
            </w14:solidFill>
          </w14:textFill>
        </w:rPr>
        <w:t>，按照属地原则履行乙方权利义务。</w:t>
      </w:r>
    </w:p>
    <w:p w14:paraId="198716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乙方根据南疆高校建设需要统筹提出培养需求。</w:t>
      </w:r>
    </w:p>
    <w:p w14:paraId="1DDBED89">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四、丙方的权利义务</w:t>
      </w:r>
    </w:p>
    <w:p w14:paraId="159B51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丙</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方在校学习期间与普通类研究生招生计划录取研究生实行统一标准、统一要求、统一管理，修业年限、学业奖励等在校期间教育管理服务事项，与其他普通类研究生招生计划录取研究生一致。丙方在校期间教育管理服务各类事项，包括出国交换学习、学籍变动、学业奖助等，均按甲方有关规定执行。丙方学习期间不得变更专业。</w:t>
      </w:r>
    </w:p>
    <w:p w14:paraId="5E562D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丙方按国家及甲方相关规定缴纳学费、住宿费等费用。丙方学习期间不迁转户籍。丙方学习期间工资、福利保障等，按丁方规定执行。</w:t>
      </w:r>
    </w:p>
    <w:p w14:paraId="0DCED21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3. 丙方在校期间，须严格遵守国家法律法规及甲方各项规章制度，按时完成学业，取得相应的学位证书和毕业证书。</w:t>
      </w:r>
    </w:p>
    <w:p w14:paraId="7C36AE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4. 在丙方毕业时，丁方依据学校相关规定落实丙方岗位。丙方毕业后，定向回丁方工作。</w:t>
      </w:r>
    </w:p>
    <w:p w14:paraId="606635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5. 丙方毕业回南疆高校工作的服务年限，硕士毕业生不得少于3年（含），博士毕业生</w:t>
      </w:r>
      <w:bookmarkStart w:id="0" w:name="OLE_LINK2"/>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不得少于5年（含</w:t>
      </w:r>
      <w:bookmarkEnd w:id="0"/>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w:t>
      </w:r>
    </w:p>
    <w:p w14:paraId="246C13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olor w:val="000000" w:themeColor="text1"/>
          <w:sz w:val="32"/>
          <w:szCs w:val="32"/>
          <w:highlight w:val="none"/>
          <w:lang w:val="en-US" w:eastAsia="zh-CN"/>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五、延长</w:t>
      </w:r>
      <w:r>
        <w:rPr>
          <w:rFonts w:hint="eastAsia" w:ascii="黑体" w:hAnsi="黑体" w:eastAsia="黑体"/>
          <w:color w:val="000000" w:themeColor="text1"/>
          <w:sz w:val="32"/>
          <w:szCs w:val="32"/>
          <w:highlight w:val="none"/>
          <w:lang w:eastAsia="zh-CN"/>
          <w14:textFill>
            <w14:solidFill>
              <w14:schemeClr w14:val="tx1"/>
            </w14:solidFill>
          </w14:textFill>
        </w:rPr>
        <w:t>、</w:t>
      </w:r>
      <w:r>
        <w:rPr>
          <w:rFonts w:hint="eastAsia" w:ascii="黑体" w:hAnsi="黑体" w:eastAsia="黑体"/>
          <w:color w:val="000000" w:themeColor="text1"/>
          <w:sz w:val="32"/>
          <w:szCs w:val="32"/>
          <w:highlight w:val="none"/>
          <w14:textFill>
            <w14:solidFill>
              <w14:schemeClr w14:val="tx1"/>
            </w14:solidFill>
          </w14:textFill>
        </w:rPr>
        <w:t>终止</w:t>
      </w:r>
      <w:r>
        <w:rPr>
          <w:rFonts w:hint="eastAsia" w:ascii="黑体" w:hAnsi="黑体" w:eastAsia="黑体"/>
          <w:color w:val="000000" w:themeColor="text1"/>
          <w:sz w:val="32"/>
          <w:szCs w:val="32"/>
          <w:highlight w:val="none"/>
          <w:lang w:val="en-US" w:eastAsia="zh-CN"/>
          <w14:textFill>
            <w14:solidFill>
              <w14:schemeClr w14:val="tx1"/>
            </w14:solidFill>
          </w14:textFill>
        </w:rPr>
        <w:t>事项</w:t>
      </w:r>
    </w:p>
    <w:p w14:paraId="13B28E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学习期间如有应征入伍等特殊原因确需休学，由丙方提出书面申请，征得甲方、丁方同意后，按甲方有关规定执行，并书面告知乙方。由于休学造成延期毕业、就业延后的，待情况允许须继续履行协议，履约时间相应延长。</w:t>
      </w:r>
    </w:p>
    <w:p w14:paraId="2B6D35F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确因身体原因不能完成学业，经甲方指定的二级甲等（含）以上医院认定，可终止协议。</w:t>
      </w:r>
    </w:p>
    <w:p w14:paraId="7BBC16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六、违约情形及处理</w:t>
      </w:r>
    </w:p>
    <w:p w14:paraId="1F09DE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丙方学习期间被勒令退学、受开除学籍处分，视为丙方违约，由甲方按有关规定处理，并书面告知乙方、丁方。丙方无故退学，视为违约。丙方未按规定时间取得毕业证书、相应学历学位证书的，视为丙方违约。</w:t>
      </w:r>
    </w:p>
    <w:p w14:paraId="17121F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丙方在报考、学习、就业等环节有弄虚作假或其他违规违纪行为的，依据有关规定处理，视为丙方违约。</w:t>
      </w:r>
    </w:p>
    <w:p w14:paraId="463DA9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3. 丙方毕业后未按协议就业等违约情形，甲方、乙方、丁方均可以通过新媒体平台等向社会公布丙方不守诚信的信息，并按丁方有关规定，由丙方承担相应违约责任或者赔偿责任；学习期间丙方通过甲方、乙方、丁方获得政策资助的，须按原金额一次性退还。</w:t>
      </w:r>
    </w:p>
    <w:p w14:paraId="413FF1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黑体" w:hAnsi="黑体" w:eastAsia="黑体"/>
          <w:color w:val="000000" w:themeColor="text1"/>
          <w:sz w:val="32"/>
          <w:szCs w:val="32"/>
          <w:highlight w:val="none"/>
          <w:lang w:val="en-US" w:eastAsia="zh-CN"/>
          <w14:textFill>
            <w14:solidFill>
              <w14:schemeClr w14:val="tx1"/>
            </w14:solidFill>
          </w14:textFill>
        </w:rPr>
        <w:t>七</w:t>
      </w:r>
      <w:r>
        <w:rPr>
          <w:rFonts w:hint="eastAsia" w:ascii="黑体" w:hAnsi="黑体" w:eastAsia="黑体"/>
          <w:color w:val="000000" w:themeColor="text1"/>
          <w:sz w:val="32"/>
          <w:szCs w:val="32"/>
          <w:highlight w:val="none"/>
          <w14:textFill>
            <w14:solidFill>
              <w14:schemeClr w14:val="tx1"/>
            </w14:solidFill>
          </w14:textFill>
        </w:rPr>
        <w:t>、</w:t>
      </w:r>
      <w:r>
        <w:rPr>
          <w:rFonts w:hint="eastAsia" w:ascii="黑体" w:hAnsi="黑体" w:eastAsia="黑体"/>
          <w:color w:val="000000" w:themeColor="text1"/>
          <w:sz w:val="32"/>
          <w:szCs w:val="32"/>
          <w:highlight w:val="none"/>
          <w:lang w:val="en-US" w:eastAsia="zh-CN"/>
          <w14:textFill>
            <w14:solidFill>
              <w14:schemeClr w14:val="tx1"/>
            </w14:solidFill>
          </w14:textFill>
        </w:rPr>
        <w:t>附则</w:t>
      </w:r>
    </w:p>
    <w:p w14:paraId="072BE5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eastAsia" w:ascii="仿宋_GB2312" w:hAnsi="宋体" w:eastAsia="仿宋_GB2312"/>
          <w:color w:val="000000" w:themeColor="text1"/>
          <w:sz w:val="32"/>
          <w:szCs w:val="32"/>
          <w:highlight w:val="none"/>
          <w14:textFill>
            <w14:solidFill>
              <w14:schemeClr w14:val="tx1"/>
            </w14:solidFill>
          </w14:textFill>
        </w:rPr>
        <w:t>本协议未尽事宜</w:t>
      </w:r>
      <w:r>
        <w:rPr>
          <w:rFonts w:hint="eastAsia" w:ascii="仿宋_GB2312" w:eastAsia="仿宋_GB2312"/>
          <w:color w:val="000000" w:themeColor="text1"/>
          <w:sz w:val="32"/>
          <w:szCs w:val="32"/>
          <w:highlight w:val="none"/>
          <w14:textFill>
            <w14:solidFill>
              <w14:schemeClr w14:val="tx1"/>
            </w14:solidFill>
          </w14:textFill>
        </w:rPr>
        <w:t>,</w:t>
      </w:r>
      <w:r>
        <w:rPr>
          <w:rFonts w:hint="eastAsia" w:ascii="仿宋_GB2312" w:hAnsi="宋体" w:eastAsia="仿宋_GB2312"/>
          <w:color w:val="000000" w:themeColor="text1"/>
          <w:sz w:val="32"/>
          <w:szCs w:val="32"/>
          <w:highlight w:val="none"/>
          <w14:textFill>
            <w14:solidFill>
              <w14:schemeClr w14:val="tx1"/>
            </w14:solidFill>
          </w14:textFill>
        </w:rPr>
        <w:t>凡属</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政策</w:t>
      </w:r>
      <w:r>
        <w:rPr>
          <w:rFonts w:hint="eastAsia" w:ascii="仿宋_GB2312" w:hAnsi="宋体" w:eastAsia="仿宋_GB2312"/>
          <w:color w:val="000000" w:themeColor="text1"/>
          <w:sz w:val="32"/>
          <w:szCs w:val="32"/>
          <w:highlight w:val="none"/>
          <w14:textFill>
            <w14:solidFill>
              <w14:schemeClr w14:val="tx1"/>
            </w14:solidFill>
          </w14:textFill>
        </w:rPr>
        <w:t>有规定的</w:t>
      </w:r>
      <w:r>
        <w:rPr>
          <w:rFonts w:hint="eastAsia" w:ascii="仿宋_GB2312" w:eastAsia="仿宋_GB2312"/>
          <w:color w:val="000000" w:themeColor="text1"/>
          <w:sz w:val="32"/>
          <w:szCs w:val="32"/>
          <w:highlight w:val="none"/>
          <w14:textFill>
            <w14:solidFill>
              <w14:schemeClr w14:val="tx1"/>
            </w14:solidFill>
          </w14:textFill>
        </w:rPr>
        <w:t>,</w:t>
      </w:r>
      <w:r>
        <w:rPr>
          <w:rFonts w:hint="eastAsia" w:ascii="仿宋_GB2312" w:hAnsi="宋体" w:eastAsia="仿宋_GB2312"/>
          <w:color w:val="000000" w:themeColor="text1"/>
          <w:sz w:val="32"/>
          <w:szCs w:val="32"/>
          <w:highlight w:val="none"/>
          <w14:textFill>
            <w14:solidFill>
              <w14:schemeClr w14:val="tx1"/>
            </w14:solidFill>
          </w14:textFill>
        </w:rPr>
        <w:t>按有关规定执行，其他事宜</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由四</w:t>
      </w:r>
      <w:r>
        <w:rPr>
          <w:rFonts w:hint="eastAsia" w:ascii="仿宋_GB2312" w:hAnsi="宋体" w:eastAsia="仿宋_GB2312"/>
          <w:color w:val="000000" w:themeColor="text1"/>
          <w:sz w:val="32"/>
          <w:szCs w:val="32"/>
          <w:highlight w:val="none"/>
          <w14:textFill>
            <w14:solidFill>
              <w14:schemeClr w14:val="tx1"/>
            </w14:solidFill>
          </w14:textFill>
        </w:rPr>
        <w:t>方协商解决。</w:t>
      </w:r>
    </w:p>
    <w:p w14:paraId="785794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2. </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本协议</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通过中国研究生招生信息网“少数民族高层次骨干人才计划资格申请平台”在线签署，在线签署及下载协议版本</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具有同等法律效力。自丙方取得正式学籍（报到）之</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日</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起生效。甲、乙、丙</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、丁四</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方各持一份</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（在线签署后可在线下载），</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一份</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由甲方打印</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存入丙方个人档案。</w:t>
      </w:r>
    </w:p>
    <w:p w14:paraId="5B2D25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p>
    <w:p w14:paraId="14A8C6A9">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outlineLvl w:val="9"/>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pPr>
    </w:p>
    <w:tbl>
      <w:tblPr>
        <w:tblStyle w:val="8"/>
        <w:tblW w:w="91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75"/>
        <w:gridCol w:w="4669"/>
      </w:tblGrid>
      <w:tr w14:paraId="3D9A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475" w:type="dxa"/>
            <w:tcBorders>
              <w:tl2br w:val="nil"/>
              <w:tr2bl w:val="nil"/>
            </w:tcBorders>
            <w:vAlign w:val="top"/>
          </w:tcPr>
          <w:p w14:paraId="6EF605A2">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甲</w:t>
            </w:r>
            <w:r>
              <w:rPr>
                <w:rFonts w:hint="eastAsia" w:ascii="楷体_GB2312" w:hAnsi="楷体_GB2312" w:eastAsia="楷体_GB2312" w:cs="楷体_GB2312"/>
                <w:color w:val="000000" w:themeColor="text1"/>
                <w:sz w:val="28"/>
                <w:szCs w:val="28"/>
                <w:highlight w:val="none"/>
                <w14:textFill>
                  <w14:solidFill>
                    <w14:schemeClr w14:val="tx1"/>
                  </w14:solidFill>
                </w14:textFill>
              </w:rPr>
              <w:t>方单位</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盖章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5EC4FAB5">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法定代表人签字</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08C54979">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tc>
        <w:tc>
          <w:tcPr>
            <w:tcW w:w="4669" w:type="dxa"/>
            <w:tcBorders>
              <w:tl2br w:val="nil"/>
              <w:tr2bl w:val="nil"/>
            </w:tcBorders>
            <w:vAlign w:val="top"/>
          </w:tcPr>
          <w:p w14:paraId="38A0EBEB">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乙</w:t>
            </w:r>
            <w:r>
              <w:rPr>
                <w:rFonts w:hint="eastAsia" w:ascii="楷体_GB2312" w:hAnsi="楷体_GB2312" w:eastAsia="楷体_GB2312" w:cs="楷体_GB2312"/>
                <w:color w:val="000000" w:themeColor="text1"/>
                <w:sz w:val="28"/>
                <w:szCs w:val="28"/>
                <w:highlight w:val="none"/>
                <w14:textFill>
                  <w14:solidFill>
                    <w14:schemeClr w14:val="tx1"/>
                  </w14:solidFill>
                </w14:textFill>
              </w:rPr>
              <w:t>方单位</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盖章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6AFF17BD">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法定代表人签字</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59074956">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tc>
      </w:tr>
      <w:tr w14:paraId="259E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4" w:hRule="atLeast"/>
        </w:trPr>
        <w:tc>
          <w:tcPr>
            <w:tcW w:w="4475" w:type="dxa"/>
            <w:tcBorders>
              <w:tl2br w:val="nil"/>
              <w:tr2bl w:val="nil"/>
            </w:tcBorders>
            <w:vAlign w:val="top"/>
          </w:tcPr>
          <w:p w14:paraId="2DA1195E">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丙方签字：</w:t>
            </w:r>
          </w:p>
          <w:p w14:paraId="52E01ED2">
            <w:pPr>
              <w:keepNext w:val="0"/>
              <w:keepLines w:val="0"/>
              <w:pageBreakBefore w:val="0"/>
              <w:widowControl w:val="0"/>
              <w:kinsoku/>
              <w:wordWrap/>
              <w:overflowPunct/>
              <w:topLinePunct w:val="0"/>
              <w:autoSpaceDE/>
              <w:autoSpaceDN/>
              <w:bidi w:val="0"/>
              <w:adjustRightInd/>
              <w:snapToGrid/>
              <w:spacing w:line="540" w:lineRule="exact"/>
              <w:ind w:firstLine="840" w:firstLineChars="300"/>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联系地</w:t>
            </w:r>
            <w:r>
              <w:rPr>
                <w:rFonts w:hint="eastAsia" w:ascii="楷体_GB2312" w:hAnsi="楷体_GB2312" w:eastAsia="楷体_GB2312" w:cs="楷体_GB2312"/>
                <w:color w:val="000000" w:themeColor="text1"/>
                <w:sz w:val="28"/>
                <w:szCs w:val="28"/>
                <w:highlight w:val="none"/>
                <w14:textFill>
                  <w14:solidFill>
                    <w14:schemeClr w14:val="tx1"/>
                  </w14:solidFill>
                </w14:textFill>
              </w:rPr>
              <w:t>址：</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p>
          <w:p w14:paraId="336B6227">
            <w:pPr>
              <w:keepNext w:val="0"/>
              <w:keepLines w:val="0"/>
              <w:pageBreakBefore w:val="0"/>
              <w:widowControl w:val="0"/>
              <w:kinsoku/>
              <w:wordWrap/>
              <w:overflowPunct/>
              <w:topLinePunct w:val="0"/>
              <w:autoSpaceDE/>
              <w:autoSpaceDN/>
              <w:bidi w:val="0"/>
              <w:adjustRightInd/>
              <w:snapToGrid/>
              <w:spacing w:line="540" w:lineRule="exact"/>
              <w:ind w:firstLine="840" w:firstLineChars="300"/>
              <w:textAlignment w:val="auto"/>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联系电话：</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p>
          <w:p w14:paraId="34711E96">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tc>
        <w:tc>
          <w:tcPr>
            <w:tcW w:w="4669" w:type="dxa"/>
            <w:tcBorders>
              <w:tl2br w:val="nil"/>
              <w:tr2bl w:val="nil"/>
            </w:tcBorders>
            <w:vAlign w:val="top"/>
          </w:tcPr>
          <w:p w14:paraId="13E6EF04">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丁方单位</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盖章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w:t>
            </w:r>
          </w:p>
          <w:p w14:paraId="43A1AC3C">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法定代表人签字</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3852999C">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tc>
      </w:tr>
    </w:tbl>
    <w:p w14:paraId="6DF6806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1DA24CC9">
      <w:pPr>
        <w:pStyle w:val="2"/>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6F006084">
      <w:pPr>
        <w:pStyle w:val="2"/>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177A1B7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7187996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0749AAA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35846D6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p>
    <w:p w14:paraId="0846786A">
      <w:pPr>
        <w:snapToGrid w:val="0"/>
        <w:spacing w:line="400" w:lineRule="exact"/>
        <w:ind w:left="105" w:hanging="105" w:hangingChars="50"/>
        <w:rPr>
          <w:rFonts w:hint="eastAsia" w:ascii="Times New Roman" w:hAnsi="Times New Roman" w:eastAsia="仿宋_GB2312"/>
          <w:szCs w:val="21"/>
          <w:lang w:eastAsia="zh-CN"/>
        </w:rPr>
      </w:pPr>
      <w:r>
        <w:rPr>
          <w:rFonts w:ascii="Times New Roman" w:hAnsi="Times New Roman" w:eastAsia="黑体"/>
          <w:b/>
          <w:szCs w:val="21"/>
        </w:rPr>
        <w:t>注：</w:t>
      </w:r>
      <w:r>
        <w:rPr>
          <w:rFonts w:ascii="Times New Roman" w:hAnsi="Times New Roman" w:eastAsia="仿宋_GB2312"/>
          <w:szCs w:val="21"/>
        </w:rPr>
        <w:t xml:space="preserve">1. </w:t>
      </w:r>
      <w:r>
        <w:rPr>
          <w:rFonts w:hint="eastAsia" w:ascii="Times New Roman" w:hAnsi="Times New Roman" w:eastAsia="仿宋_GB2312"/>
          <w:szCs w:val="21"/>
          <w:lang w:eastAsia="zh-CN"/>
        </w:rPr>
        <w:t>本协议通过骨干计划数字化管理平台签署。</w:t>
      </w:r>
    </w:p>
    <w:p w14:paraId="6E51EB7A">
      <w:pPr>
        <w:snapToGrid w:val="0"/>
        <w:spacing w:line="400" w:lineRule="exact"/>
        <w:rPr>
          <w:rFonts w:hint="eastAsia" w:ascii="Times New Roman" w:hAnsi="Times New Roman" w:eastAsia="仿宋_GB2312"/>
          <w:szCs w:val="21"/>
          <w:lang w:eastAsia="zh-CN"/>
        </w:rPr>
      </w:pPr>
      <w:r>
        <w:rPr>
          <w:rFonts w:ascii="Times New Roman" w:hAnsi="Times New Roman" w:eastAsia="仿宋_GB2312"/>
          <w:szCs w:val="21"/>
        </w:rPr>
        <w:t xml:space="preserve">    2. </w:t>
      </w:r>
      <w:r>
        <w:rPr>
          <w:rFonts w:hint="eastAsia" w:ascii="Times New Roman" w:hAnsi="Times New Roman" w:eastAsia="仿宋_GB2312"/>
          <w:szCs w:val="21"/>
          <w:lang w:eastAsia="zh-CN"/>
        </w:rPr>
        <w:t>本协议需保存纸质件</w:t>
      </w:r>
      <w:r>
        <w:rPr>
          <w:rFonts w:ascii="Times New Roman" w:hAnsi="Times New Roman" w:eastAsia="仿宋_GB2312"/>
          <w:szCs w:val="21"/>
        </w:rPr>
        <w:t>一式</w:t>
      </w:r>
      <w:r>
        <w:rPr>
          <w:rFonts w:hint="eastAsia" w:ascii="Times New Roman" w:hAnsi="Times New Roman" w:eastAsia="仿宋_GB2312"/>
          <w:szCs w:val="21"/>
          <w:lang w:eastAsia="zh-CN"/>
        </w:rPr>
        <w:t>四</w:t>
      </w:r>
      <w:r>
        <w:rPr>
          <w:rFonts w:ascii="Times New Roman" w:hAnsi="Times New Roman" w:eastAsia="仿宋_GB2312"/>
          <w:szCs w:val="21"/>
        </w:rPr>
        <w:t>份，</w:t>
      </w:r>
      <w:r>
        <w:rPr>
          <w:rFonts w:hint="eastAsia" w:ascii="Times New Roman" w:hAnsi="Times New Roman" w:eastAsia="仿宋_GB2312"/>
          <w:szCs w:val="21"/>
          <w:lang w:eastAsia="zh-CN"/>
        </w:rPr>
        <w:t>由各方自行打印。</w:t>
      </w:r>
    </w:p>
    <w:p w14:paraId="3FECA8B9">
      <w:pPr>
        <w:rPr>
          <w:rFonts w:hint="eastAsia" w:ascii="Times New Roman" w:hAnsi="Times New Roman" w:eastAsia="仿宋_GB2312"/>
          <w:szCs w:val="21"/>
          <w:lang w:eastAsia="zh-CN"/>
        </w:rPr>
      </w:pPr>
      <w:r>
        <w:rPr>
          <w:rFonts w:hint="eastAsia" w:ascii="Times New Roman" w:hAnsi="Times New Roman" w:eastAsia="仿宋_GB2312"/>
          <w:szCs w:val="21"/>
          <w:lang w:eastAsia="zh-CN"/>
        </w:rPr>
        <w:br w:type="page"/>
      </w:r>
    </w:p>
    <w:p w14:paraId="2716B9F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bookmarkStart w:id="1" w:name="_GoBack"/>
      <w:bookmarkEnd w:id="1"/>
    </w:p>
    <w:p w14:paraId="1170457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少数民族高层次骨干人才</w:t>
      </w: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研究生招生计划</w:t>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br w:type="textWrapping"/>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南疆高校教师专项</w:t>
      </w: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毕业生</w:t>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定向</w:t>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就业</w:t>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协议书</w:t>
      </w:r>
    </w:p>
    <w:p w14:paraId="5F55122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（非在职考生）</w:t>
      </w:r>
    </w:p>
    <w:p w14:paraId="09CBA51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p>
    <w:p w14:paraId="026580F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甲方</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32"/>
          <w:szCs w:val="32"/>
          <w:highlight w:val="none"/>
          <w14:textFill>
            <w14:solidFill>
              <w14:schemeClr w14:val="tx1"/>
            </w14:solidFill>
          </w14:textFill>
        </w:rPr>
        <w:t>招生</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培养</w:t>
      </w:r>
      <w:r>
        <w:rPr>
          <w:rFonts w:hint="eastAsia" w:ascii="楷体_GB2312" w:hAnsi="楷体_GB2312" w:eastAsia="楷体_GB2312" w:cs="楷体_GB2312"/>
          <w:color w:val="000000" w:themeColor="text1"/>
          <w:sz w:val="32"/>
          <w:szCs w:val="32"/>
          <w:highlight w:val="none"/>
          <w14:textFill>
            <w14:solidFill>
              <w14:schemeClr w14:val="tx1"/>
            </w14:solidFill>
          </w14:textFill>
        </w:rPr>
        <w:t>单位</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p>
    <w:p w14:paraId="4D7E58E4">
      <w:pPr>
        <w:keepNext w:val="0"/>
        <w:keepLines w:val="0"/>
        <w:pageBreakBefore w:val="0"/>
        <w:widowControl w:val="0"/>
        <w:kinsoku/>
        <w:wordWrap/>
        <w:overflowPunct/>
        <w:topLinePunct w:val="0"/>
        <w:autoSpaceDE/>
        <w:autoSpaceDN/>
        <w:bidi w:val="0"/>
        <w:adjustRightInd/>
        <w:snapToGrid/>
        <w:spacing w:line="600" w:lineRule="exact"/>
        <w:ind w:left="4160" w:leftChars="0" w:right="0" w:rightChars="0" w:hanging="4160" w:hangingChars="1300"/>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color w:val="000000" w:themeColor="text1"/>
          <w:sz w:val="32"/>
          <w:szCs w:val="32"/>
          <w:highlight w:val="none"/>
          <w14:textFill>
            <w14:solidFill>
              <w14:schemeClr w14:val="tx1"/>
            </w14:solidFill>
          </w14:textFill>
        </w:rPr>
        <w:t>乙方</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定向</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就业主管部门</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新疆维吾尔自治区教育厅或新疆生产建设兵团教育局</w:t>
      </w:r>
    </w:p>
    <w:p w14:paraId="2D5392D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color w:val="000000" w:themeColor="text1"/>
          <w:sz w:val="32"/>
          <w:szCs w:val="32"/>
          <w:highlight w:val="none"/>
          <w14:textFill>
            <w14:solidFill>
              <w14:schemeClr w14:val="tx1"/>
            </w14:solidFill>
          </w14:textFill>
        </w:rPr>
        <w:t>丙方</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定向生本人</w:t>
      </w:r>
      <w:r>
        <w:rPr>
          <w:rFonts w:hint="default" w:ascii="楷体_GB2312" w:hAnsi="楷体_GB2312" w:eastAsia="楷体_GB2312" w:cs="楷体_GB2312"/>
          <w:color w:val="000000" w:themeColor="text1"/>
          <w:sz w:val="32"/>
          <w:szCs w:val="32"/>
          <w:highlight w:val="none"/>
          <w:lang w:eastAsia="zh-CN"/>
          <w14:textFill>
            <w14:solidFill>
              <w14:schemeClr w14:val="tx1"/>
            </w14:solidFill>
          </w14:textFill>
        </w:rPr>
        <w:t>）</w:t>
      </w:r>
      <w:r>
        <w:rPr>
          <w:rFonts w:hint="default" w:ascii="楷体_GB2312" w:hAnsi="楷体_GB2312" w:eastAsia="楷体_GB2312" w:cs="楷体_GB2312"/>
          <w:color w:val="000000" w:themeColor="text1"/>
          <w:sz w:val="32"/>
          <w:szCs w:val="32"/>
          <w:highlight w:val="none"/>
          <w14:textFill>
            <w14:solidFill>
              <w14:schemeClr w14:val="tx1"/>
            </w14:solidFill>
          </w14:textFill>
        </w:rPr>
        <w:t>：</w:t>
      </w:r>
    </w:p>
    <w:p w14:paraId="41508377">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身份证号：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p>
    <w:p w14:paraId="47F9CD0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14:textFill>
            <w14:solidFill>
              <w14:schemeClr w14:val="tx1"/>
            </w14:solidFill>
          </w14:textFill>
        </w:rPr>
      </w:pPr>
    </w:p>
    <w:p w14:paraId="70D786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少数民族高层次骨干人才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计划</w:t>
      </w: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南疆高校教师专项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以下简称南疆高校教师专项）</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，旨在</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为新疆维吾尔自治区南疆地区（包括阿克苏地区、喀什地区、和田地区、巴音郭楞蒙古自治州、克孜勒苏柯尔克孜自治州；兵团第一师、第二师、第三师、第十四师、兵地融合发展草湖项目区）高校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培养优秀</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师资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，鼓励优秀人才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在南疆地区高校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从教。根据相关法律法规</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及</w:t>
      </w:r>
      <w:r>
        <w:rPr>
          <w:rFonts w:hint="default" w:ascii="Times New Roman" w:hAnsi="Times New Roman" w:eastAsia="仿宋_GB2312" w:cs="仿宋_GB2312"/>
          <w:color w:val="000000" w:themeColor="text1"/>
          <w:sz w:val="32"/>
          <w:szCs w:val="32"/>
          <w:highlight w:val="none"/>
          <w:lang w:eastAsia="zh-CN"/>
          <w14:textFill>
            <w14:solidFill>
              <w14:schemeClr w14:val="tx1"/>
            </w14:solidFill>
          </w14:textFill>
        </w:rPr>
        <w:t>少数民族高层次骨干人才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研究生招生计划实施政策</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制订本协议，</w:t>
      </w:r>
      <w:r>
        <w:rPr>
          <w:rFonts w:hint="eastAsia" w:ascii="Times New Roman" w:hAnsi="Times New Roman" w:eastAsia="仿宋_GB2312" w:cs="仿宋_GB2312"/>
          <w:color w:val="000000" w:themeColor="text1"/>
          <w:sz w:val="32"/>
          <w:szCs w:val="32"/>
          <w:highlight w:val="none"/>
          <w14:textFill>
            <w14:solidFill>
              <w14:schemeClr w14:val="tx1"/>
            </w14:solidFill>
          </w14:textFill>
        </w:rPr>
        <w:t>甲、乙、丙三方共同遵守</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22DD9BB5">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一、协议签订前提</w:t>
      </w:r>
    </w:p>
    <w:p w14:paraId="6B58591D">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lang w:val="en-US" w:eastAsia="zh-CN"/>
          <w14:textFill>
            <w14:solidFill>
              <w14:schemeClr w14:val="tx1"/>
            </w14:solidFill>
          </w14:textFill>
        </w:rPr>
        <w:t>丙</w:t>
      </w:r>
      <w:r>
        <w:rPr>
          <w:rFonts w:hint="eastAsia" w:ascii="仿宋_GB2312" w:hAnsi="宋体" w:eastAsia="仿宋_GB2312"/>
          <w:color w:val="000000" w:themeColor="text1"/>
          <w:sz w:val="32"/>
          <w:szCs w:val="32"/>
          <w:highlight w:val="none"/>
          <w14:textFill>
            <w14:solidFill>
              <w14:schemeClr w14:val="tx1"/>
            </w14:solidFill>
          </w14:textFill>
        </w:rPr>
        <w:t>方具有</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南疆教师专项报考</w:t>
      </w:r>
      <w:r>
        <w:rPr>
          <w:rFonts w:hint="eastAsia" w:ascii="仿宋_GB2312" w:hAnsi="宋体" w:eastAsia="仿宋_GB2312"/>
          <w:color w:val="000000" w:themeColor="text1"/>
          <w:sz w:val="32"/>
          <w:szCs w:val="32"/>
          <w:highlight w:val="none"/>
          <w14:textFill>
            <w14:solidFill>
              <w14:schemeClr w14:val="tx1"/>
            </w14:solidFill>
          </w14:textFill>
        </w:rPr>
        <w:t>资格，</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了解相关政策，</w:t>
      </w:r>
      <w:r>
        <w:rPr>
          <w:rFonts w:hint="eastAsia" w:ascii="仿宋_GB2312" w:hAnsi="宋体" w:eastAsia="仿宋_GB2312"/>
          <w:color w:val="000000" w:themeColor="text1"/>
          <w:sz w:val="32"/>
          <w:szCs w:val="32"/>
          <w:highlight w:val="none"/>
          <w14:textFill>
            <w14:solidFill>
              <w14:schemeClr w14:val="tx1"/>
            </w14:solidFill>
          </w14:textFill>
        </w:rPr>
        <w:t>有志于</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在南疆地区高校</w:t>
      </w:r>
      <w:r>
        <w:rPr>
          <w:rFonts w:hint="eastAsia" w:ascii="仿宋_GB2312" w:hAnsi="宋体" w:eastAsia="仿宋_GB2312"/>
          <w:color w:val="000000" w:themeColor="text1"/>
          <w:sz w:val="32"/>
          <w:szCs w:val="32"/>
          <w:highlight w:val="none"/>
          <w14:textFill>
            <w14:solidFill>
              <w14:schemeClr w14:val="tx1"/>
            </w14:solidFill>
          </w14:textFill>
        </w:rPr>
        <w:t>从教，自愿报考</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南疆教师专项</w:t>
      </w:r>
      <w:r>
        <w:rPr>
          <w:rFonts w:hint="eastAsia" w:ascii="仿宋_GB2312" w:hAnsi="宋体" w:eastAsia="仿宋_GB2312"/>
          <w:color w:val="000000" w:themeColor="text1"/>
          <w:sz w:val="32"/>
          <w:szCs w:val="32"/>
          <w:highlight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经生源地教育行政部门</w:t>
      </w:r>
      <w:r>
        <w:rPr>
          <w:rFonts w:hint="eastAsia" w:ascii="仿宋_GB2312" w:hAnsi="宋体" w:eastAsia="仿宋_GB2312"/>
          <w:color w:val="000000" w:themeColor="text1"/>
          <w:sz w:val="32"/>
          <w:szCs w:val="32"/>
          <w:highlight w:val="none"/>
          <w14:textFill>
            <w14:solidFill>
              <w14:schemeClr w14:val="tx1"/>
            </w14:solidFill>
          </w14:textFill>
        </w:rPr>
        <w:t>审核，</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乙方确认丙方符合报考条件。甲方按照研究生招生录取有关规定，录取</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丙方为</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本校</w:t>
      </w: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学院（系、部、所）</w:t>
      </w: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年</w:t>
      </w:r>
    </w:p>
    <w:p w14:paraId="04CF9BA1">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textAlignment w:val="auto"/>
        <w:outlineLvl w:val="9"/>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专业□</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全日制/</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 xml:space="preserve">非全日制 </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硕士/</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博士研究生。</w:t>
      </w:r>
    </w:p>
    <w:p w14:paraId="765FB089">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二、甲方的权利义务</w:t>
      </w:r>
    </w:p>
    <w:p w14:paraId="2561F6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按照</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为南疆地区高校</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培养优秀</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师资的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目标，制订培养方案，提供优良的教育教学条件，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加强对丙</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的</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教育培养。</w:t>
      </w:r>
    </w:p>
    <w:p w14:paraId="3D7949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按研究生学籍管理</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规定</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及时办理</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入学手续并注册学籍，</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普通高等学校学生管理规定</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等</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要求做好</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丙方学习期间</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的管理工作</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7A5836D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3. </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丙方学习期满、</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符合毕业条件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后</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，准予</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毕业。</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丙方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符合相应学位授予条件，</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甲方</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授予相应学位。丙方</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毕业后，</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甲方将丙方毕业证书、学位证书及就读期间档案等</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集中</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寄送乙方</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p>
    <w:p w14:paraId="0221E8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4. </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甲方负责落实丙方毕业去向至</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南疆就业高校</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按有关规定配合将</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丙方户口及党团组织关系</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等转入南疆就业高校</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7BB78B33">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三、乙方的权利义务</w:t>
      </w:r>
    </w:p>
    <w:p w14:paraId="1713879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新疆维吾尔自治区教育厅、新疆生产建设兵团教育局统筹南疆地区高校师资队伍建设需求，丙方到阿克苏地区、喀什地区、和田地区、巴音郭楞蒙古自治州、克孜勒苏柯尔克孜自治州等地区高校就业，由新疆维吾尔自治区教育厅履行乙方权利义务；丙方到兵团第一师、第二师、第三师、第十四师、兵地融合发展草湖项目区等地区高校就业，由新疆生产建设兵团教育局履行乙方权利义务。</w:t>
      </w:r>
    </w:p>
    <w:p w14:paraId="5C23D7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乙方根据南疆高校建设需要统筹提出培养需求。</w:t>
      </w:r>
    </w:p>
    <w:p w14:paraId="379033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3. 配合甲方，指导定向就业高校采取不同形式向学习期间的丙方介绍新疆南疆地区社情民情、南疆地区高校发展情况，并对丙方的思想、学习等方面的情况进行考察了解。</w:t>
      </w:r>
    </w:p>
    <w:p w14:paraId="2341AF1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4. 会同人力资源社会保障等部门指导丙方至南疆地区高校就业。在丙方毕业时，乙方指导定向就业高校组织对丙方进行专业知识和技能、工作能力和综合素质等方面进行考核，指导丙方、南疆地区高校根据丙方所学专业、需求岗位进行双向选择。</w:t>
      </w:r>
    </w:p>
    <w:p w14:paraId="5BA595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5. 在丙方毕业后，指导丙方与南疆地区高校签订就业协议。</w:t>
      </w:r>
    </w:p>
    <w:p w14:paraId="7F1535CD">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四、丙方的权利义务</w:t>
      </w:r>
    </w:p>
    <w:p w14:paraId="59E869A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丙</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方在校学习期间与普通类研究生招生计划录取研究生实行统一标准、统一要求、统一管理，修业年限、学业奖励等在校期间教育管理服务事项，与其他普通类研究生招生计划录取研究生一致。丙方在校期间教育管理服务各类事项，包括出国交换学习、学籍变动、学业奖助等，均按甲方有关规定执行。丙方学习期间不得变更专业。</w:t>
      </w:r>
    </w:p>
    <w:p w14:paraId="760F38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丙方按国家及甲方相关规定缴纳学费、住宿费等费用。丙方学习期间，户口、个人档案及党团关系按甲方有关规定办理。</w:t>
      </w:r>
    </w:p>
    <w:p w14:paraId="0E29197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3. 丙方在入学前，需在甲方指定的二级甲等（含）以上医院体检，体检须符合教师资格认定体检标准，方可办理入学手续。</w:t>
      </w:r>
    </w:p>
    <w:p w14:paraId="278430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4. 丙方在校期间，须严格遵守国家法律法规及甲方各项规章制度，按时完成学业，取得相应的学位证书和毕业证书。</w:t>
      </w:r>
    </w:p>
    <w:p w14:paraId="6765E4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FF0000"/>
          <w:sz w:val="32"/>
          <w:szCs w:val="32"/>
          <w:highlight w:val="none"/>
          <w:lang w:val="en-US" w:eastAsia="zh-CN"/>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5. 丙方毕业后，参加就业高校考核，双向选择确定就业的南疆高校及岗位。丙方在南疆高校工作服务年限，硕士毕业生不得少于3年（含），博士毕业生不得少于5年（含）。</w:t>
      </w:r>
    </w:p>
    <w:p w14:paraId="0888C12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6. 丙方入职后，须遵守乙方及就业高校有关规章制度，发挥专业所学，为学校发展和教育质量提升贡献力量。</w:t>
      </w:r>
    </w:p>
    <w:p w14:paraId="3D8233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olor w:val="000000" w:themeColor="text1"/>
          <w:sz w:val="32"/>
          <w:szCs w:val="32"/>
          <w:highlight w:val="none"/>
          <w:lang w:val="en-US" w:eastAsia="zh-CN"/>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五、延长</w:t>
      </w:r>
      <w:r>
        <w:rPr>
          <w:rFonts w:hint="eastAsia" w:ascii="黑体" w:hAnsi="黑体" w:eastAsia="黑体"/>
          <w:color w:val="000000" w:themeColor="text1"/>
          <w:sz w:val="32"/>
          <w:szCs w:val="32"/>
          <w:highlight w:val="none"/>
          <w:lang w:eastAsia="zh-CN"/>
          <w14:textFill>
            <w14:solidFill>
              <w14:schemeClr w14:val="tx1"/>
            </w14:solidFill>
          </w14:textFill>
        </w:rPr>
        <w:t>、</w:t>
      </w:r>
      <w:r>
        <w:rPr>
          <w:rFonts w:hint="eastAsia" w:ascii="黑体" w:hAnsi="黑体" w:eastAsia="黑体"/>
          <w:color w:val="000000" w:themeColor="text1"/>
          <w:sz w:val="32"/>
          <w:szCs w:val="32"/>
          <w:highlight w:val="none"/>
          <w14:textFill>
            <w14:solidFill>
              <w14:schemeClr w14:val="tx1"/>
            </w14:solidFill>
          </w14:textFill>
        </w:rPr>
        <w:t>终止</w:t>
      </w:r>
      <w:r>
        <w:rPr>
          <w:rFonts w:hint="eastAsia" w:ascii="黑体" w:hAnsi="黑体" w:eastAsia="黑体"/>
          <w:color w:val="000000" w:themeColor="text1"/>
          <w:sz w:val="32"/>
          <w:szCs w:val="32"/>
          <w:highlight w:val="none"/>
          <w:lang w:val="en-US" w:eastAsia="zh-CN"/>
          <w14:textFill>
            <w14:solidFill>
              <w14:schemeClr w14:val="tx1"/>
            </w14:solidFill>
          </w14:textFill>
        </w:rPr>
        <w:t>事项</w:t>
      </w:r>
    </w:p>
    <w:p w14:paraId="5ECF91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学习期间如有应征入伍等特殊原因确需休学，由丙方提出书面申请，征得甲方同意后，按甲方有关规定执行，并告知乙方。由于休学造成延期毕业、就业延后的，待情况允许须继续履行协议，履约时间相应延长。</w:t>
      </w:r>
    </w:p>
    <w:p w14:paraId="68E7DEC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确因身体原因不能完成学业，经甲方指定的二级甲等（含）以上医院认定，可终止协议。</w:t>
      </w:r>
    </w:p>
    <w:p w14:paraId="0F484C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六、违约情形及处理</w:t>
      </w:r>
    </w:p>
    <w:p w14:paraId="626592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1. 丙方学习期间被勒令退学、受开除学籍处分，视为丙方违约，由甲方按有关规定处理，并书面告知乙方。丙方无故退学，视为丙方违约。丙方未按规定时间取得毕业证书、相应学历学位证书的，视为丙方违约。</w:t>
      </w:r>
    </w:p>
    <w:p w14:paraId="4356B1A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2. 丙方在报考、学习、就业等环节有弄虚作假或其他违规违纪行为的，依据有关规定处理，视为丙方违约。</w:t>
      </w:r>
    </w:p>
    <w:p w14:paraId="5981300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3. 丙方毕业后未按协议就业等违约情形，甲方或乙方可以通过新媒体平台向社会公布丙方不守诚信的信息；如学习期间丙方通过甲方、乙方获得政策资助的，须按原金额一次性退还。</w:t>
      </w:r>
    </w:p>
    <w:p w14:paraId="4CE3E7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黑体" w:hAnsi="黑体" w:eastAsia="黑体"/>
          <w:color w:val="000000" w:themeColor="text1"/>
          <w:sz w:val="32"/>
          <w:szCs w:val="32"/>
          <w:highlight w:val="none"/>
          <w:lang w:val="en-US" w:eastAsia="zh-CN"/>
          <w14:textFill>
            <w14:solidFill>
              <w14:schemeClr w14:val="tx1"/>
            </w14:solidFill>
          </w14:textFill>
        </w:rPr>
        <w:t>七</w:t>
      </w:r>
      <w:r>
        <w:rPr>
          <w:rFonts w:hint="eastAsia" w:ascii="黑体" w:hAnsi="黑体" w:eastAsia="黑体"/>
          <w:color w:val="000000" w:themeColor="text1"/>
          <w:sz w:val="32"/>
          <w:szCs w:val="32"/>
          <w:highlight w:val="none"/>
          <w14:textFill>
            <w14:solidFill>
              <w14:schemeClr w14:val="tx1"/>
            </w14:solidFill>
          </w14:textFill>
        </w:rPr>
        <w:t>、</w:t>
      </w:r>
      <w:r>
        <w:rPr>
          <w:rFonts w:hint="eastAsia" w:ascii="黑体" w:hAnsi="黑体" w:eastAsia="黑体"/>
          <w:color w:val="000000" w:themeColor="text1"/>
          <w:sz w:val="32"/>
          <w:szCs w:val="32"/>
          <w:highlight w:val="none"/>
          <w:lang w:val="en-US" w:eastAsia="zh-CN"/>
          <w14:textFill>
            <w14:solidFill>
              <w14:schemeClr w14:val="tx1"/>
            </w14:solidFill>
          </w14:textFill>
        </w:rPr>
        <w:t>附则</w:t>
      </w:r>
    </w:p>
    <w:p w14:paraId="46F06B0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1. </w:t>
      </w:r>
      <w:r>
        <w:rPr>
          <w:rFonts w:hint="eastAsia" w:ascii="仿宋_GB2312" w:hAnsi="宋体" w:eastAsia="仿宋_GB2312"/>
          <w:color w:val="000000" w:themeColor="text1"/>
          <w:sz w:val="32"/>
          <w:szCs w:val="32"/>
          <w:highlight w:val="none"/>
          <w14:textFill>
            <w14:solidFill>
              <w14:schemeClr w14:val="tx1"/>
            </w14:solidFill>
          </w14:textFill>
        </w:rPr>
        <w:t>本协议未尽事宜</w:t>
      </w:r>
      <w:r>
        <w:rPr>
          <w:rFonts w:hint="eastAsia" w:ascii="仿宋_GB2312" w:eastAsia="仿宋_GB2312"/>
          <w:color w:val="000000" w:themeColor="text1"/>
          <w:sz w:val="32"/>
          <w:szCs w:val="32"/>
          <w:highlight w:val="none"/>
          <w14:textFill>
            <w14:solidFill>
              <w14:schemeClr w14:val="tx1"/>
            </w14:solidFill>
          </w14:textFill>
        </w:rPr>
        <w:t>,</w:t>
      </w:r>
      <w:r>
        <w:rPr>
          <w:rFonts w:hint="eastAsia" w:ascii="仿宋_GB2312" w:hAnsi="宋体" w:eastAsia="仿宋_GB2312"/>
          <w:color w:val="000000" w:themeColor="text1"/>
          <w:sz w:val="32"/>
          <w:szCs w:val="32"/>
          <w:highlight w:val="none"/>
          <w14:textFill>
            <w14:solidFill>
              <w14:schemeClr w14:val="tx1"/>
            </w14:solidFill>
          </w14:textFill>
        </w:rPr>
        <w:t>凡属</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政策</w:t>
      </w:r>
      <w:r>
        <w:rPr>
          <w:rFonts w:hint="eastAsia" w:ascii="仿宋_GB2312" w:hAnsi="宋体" w:eastAsia="仿宋_GB2312"/>
          <w:color w:val="000000" w:themeColor="text1"/>
          <w:sz w:val="32"/>
          <w:szCs w:val="32"/>
          <w:highlight w:val="none"/>
          <w14:textFill>
            <w14:solidFill>
              <w14:schemeClr w14:val="tx1"/>
            </w14:solidFill>
          </w14:textFill>
        </w:rPr>
        <w:t>有规定的</w:t>
      </w:r>
      <w:r>
        <w:rPr>
          <w:rFonts w:hint="eastAsia" w:ascii="仿宋_GB2312" w:eastAsia="仿宋_GB2312"/>
          <w:color w:val="000000" w:themeColor="text1"/>
          <w:sz w:val="32"/>
          <w:szCs w:val="32"/>
          <w:highlight w:val="none"/>
          <w14:textFill>
            <w14:solidFill>
              <w14:schemeClr w14:val="tx1"/>
            </w14:solidFill>
          </w14:textFill>
        </w:rPr>
        <w:t>,</w:t>
      </w:r>
      <w:r>
        <w:rPr>
          <w:rFonts w:hint="eastAsia" w:ascii="仿宋_GB2312" w:hAnsi="宋体" w:eastAsia="仿宋_GB2312"/>
          <w:color w:val="000000" w:themeColor="text1"/>
          <w:sz w:val="32"/>
          <w:szCs w:val="32"/>
          <w:highlight w:val="none"/>
          <w14:textFill>
            <w14:solidFill>
              <w14:schemeClr w14:val="tx1"/>
            </w14:solidFill>
          </w14:textFill>
        </w:rPr>
        <w:t>按有关规定执行，其他事宜</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由</w:t>
      </w:r>
      <w:r>
        <w:rPr>
          <w:rFonts w:hint="eastAsia" w:ascii="仿宋_GB2312" w:hAnsi="宋体" w:eastAsia="仿宋_GB2312"/>
          <w:color w:val="000000" w:themeColor="text1"/>
          <w:sz w:val="32"/>
          <w:szCs w:val="32"/>
          <w:highlight w:val="none"/>
          <w14:textFill>
            <w14:solidFill>
              <w14:schemeClr w14:val="tx1"/>
            </w14:solidFill>
          </w14:textFill>
        </w:rPr>
        <w:t>三方协商解决。</w:t>
      </w:r>
    </w:p>
    <w:p w14:paraId="67F0062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 xml:space="preserve">2. </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本协议</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通过中国研究生招生信息网“少数民族高层次骨干人才计划资格申请平台”在线签署</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在线签署及下载协议版本</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具有同等法律效力</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自丙方取得正式学籍（报到）之</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日</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起生效。甲、乙、丙三方各持一份</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（在线签署后可在线下载），</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一份</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由甲方打印</w:t>
      </w:r>
      <w:r>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t>存入丙方个人档案。</w:t>
      </w:r>
    </w:p>
    <w:p w14:paraId="2A4C51AB">
      <w:pPr>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outlineLvl w:val="9"/>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pPr>
    </w:p>
    <w:tbl>
      <w:tblPr>
        <w:tblStyle w:val="8"/>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29"/>
        <w:gridCol w:w="4593"/>
      </w:tblGrid>
      <w:tr w14:paraId="22E6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1" w:hRule="atLeast"/>
        </w:trPr>
        <w:tc>
          <w:tcPr>
            <w:tcW w:w="3929" w:type="dxa"/>
            <w:tcBorders>
              <w:tl2br w:val="nil"/>
              <w:tr2bl w:val="nil"/>
            </w:tcBorders>
            <w:vAlign w:val="top"/>
          </w:tcPr>
          <w:p w14:paraId="3AA7AD59">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甲</w:t>
            </w:r>
            <w:r>
              <w:rPr>
                <w:rFonts w:hint="eastAsia" w:ascii="楷体_GB2312" w:hAnsi="楷体_GB2312" w:eastAsia="楷体_GB2312" w:cs="楷体_GB2312"/>
                <w:color w:val="000000" w:themeColor="text1"/>
                <w:sz w:val="28"/>
                <w:szCs w:val="28"/>
                <w:highlight w:val="none"/>
                <w14:textFill>
                  <w14:solidFill>
                    <w14:schemeClr w14:val="tx1"/>
                  </w14:solidFill>
                </w14:textFill>
              </w:rPr>
              <w:t>方单位</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盖章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4D8F391B">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法定代表人签字</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5D69DD2B">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p w14:paraId="5AB930F3">
            <w:pPr>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outlineLvl w:val="9"/>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p>
        </w:tc>
        <w:tc>
          <w:tcPr>
            <w:tcW w:w="4593" w:type="dxa"/>
            <w:tcBorders>
              <w:tl2br w:val="nil"/>
              <w:tr2bl w:val="nil"/>
            </w:tcBorders>
            <w:vAlign w:val="top"/>
          </w:tcPr>
          <w:p w14:paraId="38197C25">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乙</w:t>
            </w:r>
            <w:r>
              <w:rPr>
                <w:rFonts w:hint="eastAsia" w:ascii="楷体_GB2312" w:hAnsi="楷体_GB2312" w:eastAsia="楷体_GB2312" w:cs="楷体_GB2312"/>
                <w:color w:val="000000" w:themeColor="text1"/>
                <w:sz w:val="28"/>
                <w:szCs w:val="28"/>
                <w:highlight w:val="none"/>
                <w14:textFill>
                  <w14:solidFill>
                    <w14:schemeClr w14:val="tx1"/>
                  </w14:solidFill>
                </w14:textFill>
              </w:rPr>
              <w:t>方单位</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盖章</w:t>
            </w: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4AA7FED5">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t>法定代表人签字</w:t>
            </w:r>
            <w:r>
              <w:rPr>
                <w:rFonts w:hint="eastAsia" w:ascii="楷体_GB2312" w:hAnsi="楷体_GB2312" w:eastAsia="楷体_GB2312" w:cs="楷体_GB2312"/>
                <w:color w:val="000000" w:themeColor="text1"/>
                <w:sz w:val="28"/>
                <w:szCs w:val="28"/>
                <w:highlight w:val="none"/>
                <w14:textFill>
                  <w14:solidFill>
                    <w14:schemeClr w14:val="tx1"/>
                  </w14:solidFill>
                </w14:textFill>
              </w:rPr>
              <w:t>：</w:t>
            </w:r>
          </w:p>
          <w:p w14:paraId="20F8D9BB">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p w14:paraId="0F49E42E">
            <w:pPr>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outlineLvl w:val="9"/>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p>
        </w:tc>
      </w:tr>
      <w:tr w14:paraId="2B01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2"/>
            <w:tcBorders>
              <w:tl2br w:val="nil"/>
              <w:tr2bl w:val="nil"/>
            </w:tcBorders>
            <w:vAlign w:val="top"/>
          </w:tcPr>
          <w:p w14:paraId="70760D67">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丙方签字：</w:t>
            </w:r>
          </w:p>
          <w:p w14:paraId="6A46EF86">
            <w:pPr>
              <w:keepNext w:val="0"/>
              <w:keepLines w:val="0"/>
              <w:pageBreakBefore w:val="0"/>
              <w:widowControl w:val="0"/>
              <w:kinsoku/>
              <w:wordWrap/>
              <w:overflowPunct/>
              <w:topLinePunct w:val="0"/>
              <w:autoSpaceDE/>
              <w:autoSpaceDN/>
              <w:bidi w:val="0"/>
              <w:adjustRightInd/>
              <w:snapToGrid/>
              <w:spacing w:line="540" w:lineRule="exact"/>
              <w:ind w:firstLine="840" w:firstLineChars="300"/>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联系地</w:t>
            </w:r>
            <w:r>
              <w:rPr>
                <w:rFonts w:hint="eastAsia" w:ascii="楷体_GB2312" w:hAnsi="楷体_GB2312" w:eastAsia="楷体_GB2312" w:cs="楷体_GB2312"/>
                <w:color w:val="000000" w:themeColor="text1"/>
                <w:sz w:val="28"/>
                <w:szCs w:val="28"/>
                <w:highlight w:val="none"/>
                <w14:textFill>
                  <w14:solidFill>
                    <w14:schemeClr w14:val="tx1"/>
                  </w14:solidFill>
                </w14:textFill>
              </w:rPr>
              <w:t>址：</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p>
          <w:p w14:paraId="5F1B4DB2">
            <w:pPr>
              <w:keepNext w:val="0"/>
              <w:keepLines w:val="0"/>
              <w:pageBreakBefore w:val="0"/>
              <w:widowControl w:val="0"/>
              <w:kinsoku/>
              <w:wordWrap/>
              <w:overflowPunct/>
              <w:topLinePunct w:val="0"/>
              <w:autoSpaceDE/>
              <w:autoSpaceDN/>
              <w:bidi w:val="0"/>
              <w:adjustRightInd/>
              <w:snapToGrid/>
              <w:spacing w:line="540" w:lineRule="exact"/>
              <w:ind w:firstLine="840" w:firstLineChars="300"/>
              <w:textAlignment w:val="auto"/>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联系电话：</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w:t>
            </w:r>
          </w:p>
          <w:p w14:paraId="071C8785">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outlineLvl w:val="9"/>
              <w:rPr>
                <w:rFonts w:hint="eastAsia" w:ascii="楷体_GB2312" w:hAnsi="楷体_GB2312" w:eastAsia="楷体_GB2312" w:cs="楷体_GB2312"/>
                <w:color w:val="000000" w:themeColor="text1"/>
                <w:sz w:val="28"/>
                <w:szCs w:val="28"/>
                <w:highlight w:val="none"/>
                <w:lang w:eastAsia="zh-CN"/>
                <w14:textFill>
                  <w14:solidFill>
                    <w14:schemeClr w14:val="tx1"/>
                  </w14:solidFill>
                </w14:textFill>
              </w:rPr>
            </w:pP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年</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月</w:t>
            </w:r>
            <w:r>
              <w:rPr>
                <w:rFonts w:hint="eastAsia" w:ascii="楷体_GB2312" w:hAnsi="楷体_GB2312" w:eastAsia="楷体_GB2312" w:cs="楷体_GB2312"/>
                <w:color w:val="000000" w:themeColor="text1"/>
                <w:sz w:val="28"/>
                <w:szCs w:val="28"/>
                <w:highlight w:val="none"/>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28"/>
                <w:szCs w:val="28"/>
                <w:highlight w:val="none"/>
                <w14:textFill>
                  <w14:solidFill>
                    <w14:schemeClr w14:val="tx1"/>
                  </w14:solidFill>
                </w14:textFill>
              </w:rPr>
              <w:t>日</w:t>
            </w:r>
          </w:p>
        </w:tc>
      </w:tr>
    </w:tbl>
    <w:p w14:paraId="5D516688">
      <w:pPr>
        <w:snapToGrid w:val="0"/>
        <w:spacing w:line="400" w:lineRule="exact"/>
        <w:ind w:left="105" w:hanging="105" w:hangingChars="50"/>
        <w:rPr>
          <w:rFonts w:hint="eastAsia" w:ascii="Times New Roman" w:hAnsi="Times New Roman" w:eastAsia="仿宋_GB2312"/>
          <w:szCs w:val="21"/>
          <w:lang w:eastAsia="zh-CN"/>
        </w:rPr>
      </w:pPr>
      <w:r>
        <w:rPr>
          <w:rFonts w:ascii="Times New Roman" w:hAnsi="Times New Roman" w:eastAsia="黑体"/>
          <w:b/>
          <w:szCs w:val="21"/>
        </w:rPr>
        <w:t>注：</w:t>
      </w:r>
      <w:r>
        <w:rPr>
          <w:rFonts w:ascii="Times New Roman" w:hAnsi="Times New Roman" w:eastAsia="仿宋_GB2312"/>
          <w:szCs w:val="21"/>
        </w:rPr>
        <w:t xml:space="preserve">1. </w:t>
      </w:r>
      <w:r>
        <w:rPr>
          <w:rFonts w:hint="eastAsia" w:ascii="Times New Roman" w:hAnsi="Times New Roman" w:eastAsia="仿宋_GB2312"/>
          <w:szCs w:val="21"/>
          <w:lang w:eastAsia="zh-CN"/>
        </w:rPr>
        <w:t>本协议通过骨干计划数字化管理平台签署。</w:t>
      </w:r>
    </w:p>
    <w:p w14:paraId="4B95E595">
      <w:pPr>
        <w:snapToGrid w:val="0"/>
        <w:spacing w:line="400" w:lineRule="exact"/>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ascii="Times New Roman" w:hAnsi="Times New Roman" w:eastAsia="仿宋_GB2312"/>
          <w:szCs w:val="21"/>
        </w:rPr>
        <w:t xml:space="preserve">    2. </w:t>
      </w:r>
      <w:r>
        <w:rPr>
          <w:rFonts w:hint="eastAsia" w:ascii="Times New Roman" w:hAnsi="Times New Roman" w:eastAsia="仿宋_GB2312"/>
          <w:szCs w:val="21"/>
          <w:lang w:eastAsia="zh-CN"/>
        </w:rPr>
        <w:t>本协议需保存纸质件</w:t>
      </w:r>
      <w:r>
        <w:rPr>
          <w:rFonts w:ascii="Times New Roman" w:hAnsi="Times New Roman" w:eastAsia="仿宋_GB2312"/>
          <w:szCs w:val="21"/>
        </w:rPr>
        <w:t>一式</w:t>
      </w:r>
      <w:r>
        <w:rPr>
          <w:rFonts w:hint="eastAsia" w:ascii="Times New Roman" w:hAnsi="Times New Roman" w:eastAsia="仿宋_GB2312"/>
          <w:szCs w:val="21"/>
          <w:lang w:val="en-US" w:eastAsia="zh-CN"/>
        </w:rPr>
        <w:t>三</w:t>
      </w:r>
      <w:r>
        <w:rPr>
          <w:rFonts w:ascii="Times New Roman" w:hAnsi="Times New Roman" w:eastAsia="仿宋_GB2312"/>
          <w:szCs w:val="21"/>
        </w:rPr>
        <w:t>份，</w:t>
      </w:r>
      <w:r>
        <w:rPr>
          <w:rFonts w:hint="eastAsia" w:ascii="Times New Roman" w:hAnsi="Times New Roman" w:eastAsia="仿宋_GB2312"/>
          <w:szCs w:val="21"/>
          <w:lang w:eastAsia="zh-CN"/>
        </w:rPr>
        <w:t>由各方自行打印。</w:t>
      </w:r>
    </w:p>
    <w:sectPr>
      <w:footerReference r:id="rId3" w:type="default"/>
      <w:pgSz w:w="11906" w:h="16838"/>
      <w:pgMar w:top="2098" w:right="1417" w:bottom="1984" w:left="1417" w:header="851" w:footer="153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8EEED5-3942-41F0-B83F-3B1549FC9C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2" w:fontKey="{05AA727D-057D-4A31-91B0-D06B23D45F0D}"/>
  </w:font>
  <w:font w:name="方正仿宋_GBK">
    <w:panose1 w:val="02000000000000000000"/>
    <w:charset w:val="86"/>
    <w:family w:val="auto"/>
    <w:pitch w:val="default"/>
    <w:sig w:usb0="A00002BF" w:usb1="38CF7CFA" w:usb2="00082016" w:usb3="00000000" w:csb0="00040001" w:csb1="00000000"/>
    <w:embedRegular r:id="rId3" w:fontKey="{C1CB5D20-9941-443C-9178-C044CD131168}"/>
  </w:font>
  <w:font w:name="仿宋_GB2312">
    <w:panose1 w:val="02010609030101010101"/>
    <w:charset w:val="86"/>
    <w:family w:val="modern"/>
    <w:pitch w:val="default"/>
    <w:sig w:usb0="00000001" w:usb1="080E0000" w:usb2="00000000" w:usb3="00000000" w:csb0="00040000" w:csb1="00000000"/>
    <w:embedRegular r:id="rId4" w:fontKey="{60A4DD18-5A8C-4A40-8C54-FA09402F35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07C9D">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FE3ED">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lang w:eastAsia="zh-CN"/>
                            </w:rPr>
                            <w:fldChar w:fldCharType="begin"/>
                          </w:r>
                          <w:r>
                            <w:rPr>
                              <w:rFonts w:hint="default" w:ascii="Times New Roman" w:hAnsi="Times New Roman" w:cs="Times New Roman" w:eastAsiaTheme="minorEastAsia"/>
                              <w:sz w:val="28"/>
                              <w:szCs w:val="28"/>
                              <w:lang w:eastAsia="zh-CN"/>
                            </w:rPr>
                            <w:instrText xml:space="preserve"> PAGE  \* MERGEFORMAT </w:instrText>
                          </w:r>
                          <w:r>
                            <w:rPr>
                              <w:rFonts w:hint="default" w:ascii="Times New Roman" w:hAnsi="Times New Roman" w:cs="Times New Roman" w:eastAsiaTheme="minorEastAsia"/>
                              <w:sz w:val="28"/>
                              <w:szCs w:val="28"/>
                              <w:lang w:eastAsia="zh-CN"/>
                            </w:rPr>
                            <w:fldChar w:fldCharType="separate"/>
                          </w:r>
                          <w:r>
                            <w:rPr>
                              <w:rFonts w:hint="default" w:ascii="Times New Roman" w:hAnsi="Times New Roman" w:cs="Times New Roman" w:eastAsiaTheme="minorEastAsia"/>
                              <w:sz w:val="28"/>
                              <w:szCs w:val="28"/>
                              <w:lang w:eastAsia="zh-CN"/>
                            </w:rPr>
                            <w:t>- 1 -</w:t>
                          </w:r>
                          <w:r>
                            <w:rPr>
                              <w:rFonts w:hint="default" w:ascii="Times New Roman" w:hAnsi="Times New Roman" w:cs="Times New Roman" w:eastAsia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CAFE3ED">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lang w:eastAsia="zh-CN"/>
                      </w:rPr>
                      <w:fldChar w:fldCharType="begin"/>
                    </w:r>
                    <w:r>
                      <w:rPr>
                        <w:rFonts w:hint="default" w:ascii="Times New Roman" w:hAnsi="Times New Roman" w:cs="Times New Roman" w:eastAsiaTheme="minorEastAsia"/>
                        <w:sz w:val="28"/>
                        <w:szCs w:val="28"/>
                        <w:lang w:eastAsia="zh-CN"/>
                      </w:rPr>
                      <w:instrText xml:space="preserve"> PAGE  \* MERGEFORMAT </w:instrText>
                    </w:r>
                    <w:r>
                      <w:rPr>
                        <w:rFonts w:hint="default" w:ascii="Times New Roman" w:hAnsi="Times New Roman" w:cs="Times New Roman" w:eastAsiaTheme="minorEastAsia"/>
                        <w:sz w:val="28"/>
                        <w:szCs w:val="28"/>
                        <w:lang w:eastAsia="zh-CN"/>
                      </w:rPr>
                      <w:fldChar w:fldCharType="separate"/>
                    </w:r>
                    <w:r>
                      <w:rPr>
                        <w:rFonts w:hint="default" w:ascii="Times New Roman" w:hAnsi="Times New Roman" w:cs="Times New Roman" w:eastAsiaTheme="minorEastAsia"/>
                        <w:sz w:val="28"/>
                        <w:szCs w:val="28"/>
                        <w:lang w:eastAsia="zh-CN"/>
                      </w:rPr>
                      <w:t>- 1 -</w:t>
                    </w:r>
                    <w:r>
                      <w:rPr>
                        <w:rFonts w:hint="default" w:ascii="Times New Roman" w:hAnsi="Times New Roman" w:cs="Times New Roman" w:eastAsia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12B6E">
                          <w:pPr>
                            <w:snapToGrid w:val="0"/>
                            <w:rPr>
                              <w:rFonts w:hint="eastAsia" w:eastAsiaTheme="minorEastAsia"/>
                              <w:sz w:val="1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812B6E">
                    <w:pPr>
                      <w:snapToGrid w:val="0"/>
                      <w:rPr>
                        <w:rFonts w:hint="eastAsia" w:eastAsiaTheme="minorEastAsia"/>
                        <w:sz w:val="1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F76DE"/>
    <w:rsid w:val="01BA7BDE"/>
    <w:rsid w:val="03E35437"/>
    <w:rsid w:val="062320B1"/>
    <w:rsid w:val="07E27C92"/>
    <w:rsid w:val="07EA1314"/>
    <w:rsid w:val="089B1C79"/>
    <w:rsid w:val="08A00010"/>
    <w:rsid w:val="0F59599D"/>
    <w:rsid w:val="1007646F"/>
    <w:rsid w:val="10BD322F"/>
    <w:rsid w:val="11C60997"/>
    <w:rsid w:val="12FB7503"/>
    <w:rsid w:val="13EA7AD5"/>
    <w:rsid w:val="14F17FE8"/>
    <w:rsid w:val="157F6C0F"/>
    <w:rsid w:val="169E1BAD"/>
    <w:rsid w:val="17F64392"/>
    <w:rsid w:val="1BB93F6E"/>
    <w:rsid w:val="1BFA625F"/>
    <w:rsid w:val="1D317583"/>
    <w:rsid w:val="1EC13D77"/>
    <w:rsid w:val="1FFA4301"/>
    <w:rsid w:val="209A0509"/>
    <w:rsid w:val="20F40D3E"/>
    <w:rsid w:val="21081F93"/>
    <w:rsid w:val="27534F9C"/>
    <w:rsid w:val="28565731"/>
    <w:rsid w:val="293161C0"/>
    <w:rsid w:val="29616D23"/>
    <w:rsid w:val="2A524755"/>
    <w:rsid w:val="2AFC5402"/>
    <w:rsid w:val="2BB641F4"/>
    <w:rsid w:val="2F3455DA"/>
    <w:rsid w:val="2F486852"/>
    <w:rsid w:val="3077048F"/>
    <w:rsid w:val="31167D77"/>
    <w:rsid w:val="315124B9"/>
    <w:rsid w:val="32A06471"/>
    <w:rsid w:val="34113F53"/>
    <w:rsid w:val="370514C2"/>
    <w:rsid w:val="37A57871"/>
    <w:rsid w:val="386F31AC"/>
    <w:rsid w:val="39D33908"/>
    <w:rsid w:val="39D543DA"/>
    <w:rsid w:val="39E75C04"/>
    <w:rsid w:val="3A483257"/>
    <w:rsid w:val="3AFF2EA2"/>
    <w:rsid w:val="3D682CE6"/>
    <w:rsid w:val="3D8531C3"/>
    <w:rsid w:val="3FE527CA"/>
    <w:rsid w:val="400E78B3"/>
    <w:rsid w:val="40364C89"/>
    <w:rsid w:val="40572CAB"/>
    <w:rsid w:val="405C5872"/>
    <w:rsid w:val="406A25D7"/>
    <w:rsid w:val="40A6245E"/>
    <w:rsid w:val="41613DC5"/>
    <w:rsid w:val="445348B2"/>
    <w:rsid w:val="46701F37"/>
    <w:rsid w:val="481A70B5"/>
    <w:rsid w:val="490F4BC6"/>
    <w:rsid w:val="4BA83AEA"/>
    <w:rsid w:val="4C102DD5"/>
    <w:rsid w:val="4D786316"/>
    <w:rsid w:val="4FEA7C45"/>
    <w:rsid w:val="50494ED2"/>
    <w:rsid w:val="51E0097D"/>
    <w:rsid w:val="53C7003F"/>
    <w:rsid w:val="545D2675"/>
    <w:rsid w:val="55094DA0"/>
    <w:rsid w:val="557229CB"/>
    <w:rsid w:val="579F165D"/>
    <w:rsid w:val="5A5A7148"/>
    <w:rsid w:val="5A6C28E5"/>
    <w:rsid w:val="5D8E7B23"/>
    <w:rsid w:val="5EB368C6"/>
    <w:rsid w:val="5F544A55"/>
    <w:rsid w:val="61916677"/>
    <w:rsid w:val="636611A7"/>
    <w:rsid w:val="63C82546"/>
    <w:rsid w:val="652D583B"/>
    <w:rsid w:val="658442AB"/>
    <w:rsid w:val="664F907A"/>
    <w:rsid w:val="66AF2FBC"/>
    <w:rsid w:val="672178A4"/>
    <w:rsid w:val="67B06F06"/>
    <w:rsid w:val="68355DEF"/>
    <w:rsid w:val="6847349E"/>
    <w:rsid w:val="692118DF"/>
    <w:rsid w:val="6A0C0251"/>
    <w:rsid w:val="6AB87AE1"/>
    <w:rsid w:val="6B4E658E"/>
    <w:rsid w:val="6C8E5823"/>
    <w:rsid w:val="715E74B8"/>
    <w:rsid w:val="730155FF"/>
    <w:rsid w:val="735F7D2C"/>
    <w:rsid w:val="74761508"/>
    <w:rsid w:val="75760578"/>
    <w:rsid w:val="77C75BCC"/>
    <w:rsid w:val="7A9B3DA0"/>
    <w:rsid w:val="7ADB42F4"/>
    <w:rsid w:val="7B28536E"/>
    <w:rsid w:val="7F3B2E8C"/>
    <w:rsid w:val="F3DC5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1278</Words>
  <Characters>1291</Characters>
  <Lines>0</Lines>
  <Paragraphs>0</Paragraphs>
  <TotalTime>5</TotalTime>
  <ScaleCrop>false</ScaleCrop>
  <LinksUpToDate>false</LinksUpToDate>
  <CharactersWithSpaces>1363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jytww061</dc:creator>
  <cp:lastModifiedBy>_Wang洋洋✨</cp:lastModifiedBy>
  <cp:lastPrinted>2025-09-19T15:49:00Z</cp:lastPrinted>
  <dcterms:modified xsi:type="dcterms:W3CDTF">2026-10-29T07:26:54Z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eyJoZGlkIjoiMjk2NTVhNTAwOTJiNzM3YjZmYzBiZjMxOTRkZjlhODAiLCJ1c2VySWQiOiI1Mjc0NDY5MjUifQ==</vt:lpwstr>
  </property>
  <property fmtid="{D5CDD505-2E9C-101B-9397-08002B2CF9AE}" pid="4" name="ICV">
    <vt:lpwstr>A1001F9BE5BFEA03F10ACD686C92E2E6</vt:lpwstr>
  </property>
</Properties>
</file>