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5138">
      <w:pPr>
        <w:snapToGrid w:val="0"/>
        <w:spacing w:line="300" w:lineRule="auto"/>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信息材料与智能感知安徽省实验室202</w:t>
      </w:r>
      <w:r>
        <w:rPr>
          <w:rFonts w:ascii="黑体" w:hAnsi="黑体" w:eastAsia="黑体" w:cs="黑体"/>
          <w:color w:val="000000"/>
          <w:kern w:val="0"/>
          <w:sz w:val="36"/>
          <w:szCs w:val="36"/>
        </w:rPr>
        <w:t>5</w:t>
      </w:r>
      <w:r>
        <w:rPr>
          <w:rFonts w:hint="eastAsia" w:ascii="黑体" w:hAnsi="黑体" w:eastAsia="黑体" w:cs="黑体"/>
          <w:color w:val="000000"/>
          <w:kern w:val="0"/>
          <w:sz w:val="36"/>
          <w:szCs w:val="36"/>
        </w:rPr>
        <w:t>年硕博连读与</w:t>
      </w:r>
      <w:r>
        <w:rPr>
          <w:rFonts w:hint="eastAsia" w:ascii="黑体" w:hAnsi="黑体" w:eastAsia="黑体" w:cs="黑体"/>
          <w:color w:val="000000"/>
          <w:kern w:val="0"/>
          <w:sz w:val="36"/>
          <w:szCs w:val="36"/>
          <w:lang w:eastAsia="zh-CN"/>
        </w:rPr>
        <w:t>“申请-考核”</w:t>
      </w:r>
      <w:r>
        <w:rPr>
          <w:rFonts w:hint="eastAsia" w:ascii="黑体" w:hAnsi="黑体" w:eastAsia="黑体" w:cs="黑体"/>
          <w:color w:val="000000"/>
          <w:kern w:val="0"/>
          <w:sz w:val="36"/>
          <w:szCs w:val="36"/>
        </w:rPr>
        <w:t>制博士研究生选拔工作实施细则</w:t>
      </w:r>
    </w:p>
    <w:p w14:paraId="7A845F61">
      <w:pPr>
        <w:snapToGrid w:val="0"/>
        <w:spacing w:line="300" w:lineRule="auto"/>
        <w:jc w:val="center"/>
        <w:rPr>
          <w:rFonts w:ascii="Times New Roman" w:hAnsi="Times New Roman" w:eastAsia="黑体" w:cs="Times New Roman"/>
          <w:b/>
          <w:bCs/>
          <w:color w:val="000000"/>
          <w:kern w:val="0"/>
          <w:sz w:val="30"/>
          <w:szCs w:val="30"/>
        </w:rPr>
      </w:pPr>
    </w:p>
    <w:p w14:paraId="46F69312">
      <w:pPr>
        <w:adjustRightInd w:val="0"/>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一、组织领导</w:t>
      </w:r>
    </w:p>
    <w:p w14:paraId="15405D37">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根据《安徽大学202</w:t>
      </w:r>
      <w:r>
        <w:rPr>
          <w:rFonts w:ascii="仿宋" w:hAnsi="仿宋" w:eastAsia="仿宋" w:cs="仿宋"/>
          <w:sz w:val="32"/>
          <w:szCs w:val="32"/>
        </w:rPr>
        <w:t>5</w:t>
      </w:r>
      <w:r>
        <w:rPr>
          <w:rFonts w:hint="eastAsia" w:ascii="仿宋" w:hAnsi="仿宋" w:eastAsia="仿宋" w:cs="仿宋"/>
          <w:sz w:val="32"/>
          <w:szCs w:val="32"/>
        </w:rPr>
        <w:t>年硕博连读与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制博士研究生选拔工作实施办法》文件精神，成立信息材料与智能感知安徽省实验室20</w:t>
      </w:r>
      <w:r>
        <w:rPr>
          <w:rFonts w:ascii="仿宋" w:hAnsi="仿宋" w:eastAsia="仿宋" w:cs="仿宋"/>
          <w:sz w:val="32"/>
          <w:szCs w:val="32"/>
        </w:rPr>
        <w:t>25</w:t>
      </w:r>
      <w:r>
        <w:rPr>
          <w:rFonts w:hint="eastAsia" w:ascii="仿宋" w:hAnsi="仿宋" w:eastAsia="仿宋" w:cs="仿宋"/>
          <w:sz w:val="32"/>
          <w:szCs w:val="32"/>
        </w:rPr>
        <w:t>年硕博连读与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制博士研究生选拔工作小组。选拔工作小组负责制定本实验室的实施细则并组织实施。</w:t>
      </w:r>
    </w:p>
    <w:p w14:paraId="0F0E5746">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二、选拔对象</w:t>
      </w:r>
    </w:p>
    <w:p w14:paraId="08B206B4">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1.硕博连读博士生申请人为我校202</w:t>
      </w:r>
      <w:r>
        <w:rPr>
          <w:rFonts w:ascii="仿宋" w:hAnsi="仿宋" w:eastAsia="仿宋" w:cs="仿宋"/>
          <w:sz w:val="32"/>
          <w:szCs w:val="32"/>
        </w:rPr>
        <w:t>3</w:t>
      </w:r>
      <w:r>
        <w:rPr>
          <w:rFonts w:hint="eastAsia" w:ascii="仿宋" w:hAnsi="仿宋" w:eastAsia="仿宋" w:cs="仿宋"/>
          <w:sz w:val="32"/>
          <w:szCs w:val="32"/>
        </w:rPr>
        <w:t>级在读全日制硕士研究生或应届硕士毕业生，且第一学历须为全日制本科毕业并获得学士学位。</w:t>
      </w:r>
    </w:p>
    <w:p w14:paraId="272CA869">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制博士生申请人为硕士研究生毕业或已获硕士学位的人员或应届硕士毕业生（应届硕士生必须在博士入学前取得硕士毕业证书或学位证书）。</w:t>
      </w:r>
    </w:p>
    <w:p w14:paraId="74251E5D">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三、选拔条件</w:t>
      </w:r>
    </w:p>
    <w:p w14:paraId="5706088D">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081200 计算机科学与技术 见计算机科学与技术学院相关要求；</w:t>
      </w:r>
    </w:p>
    <w:p w14:paraId="7F55E97B">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080904 电磁场与微波技术 见电子信息工程学院相关要求。</w:t>
      </w:r>
    </w:p>
    <w:p w14:paraId="2A9D82AE">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四、选拔程序</w:t>
      </w:r>
    </w:p>
    <w:p w14:paraId="7DA93C6F">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（一）个人申请：</w:t>
      </w:r>
      <w:r>
        <w:rPr>
          <w:rFonts w:hint="eastAsia" w:ascii="仿宋" w:hAnsi="仿宋" w:eastAsia="仿宋" w:cs="仿宋"/>
          <w:sz w:val="32"/>
          <w:szCs w:val="32"/>
        </w:rPr>
        <w:t>个人申请。申请人登录中国研究生招生信息网（http://yz.chsi.com.cn），进行网上报名、缴费。</w:t>
      </w:r>
    </w:p>
    <w:p w14:paraId="5ED7D545">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考生报名成功后，须在2</w:t>
      </w:r>
      <w:r>
        <w:rPr>
          <w:rFonts w:ascii="仿宋" w:hAnsi="仿宋" w:eastAsia="仿宋" w:cs="仿宋"/>
          <w:bCs/>
          <w:sz w:val="32"/>
          <w:szCs w:val="32"/>
        </w:rPr>
        <w:t>025</w:t>
      </w:r>
      <w:r>
        <w:rPr>
          <w:rFonts w:hint="eastAsia" w:ascii="仿宋" w:hAnsi="仿宋" w:eastAsia="仿宋" w:cs="仿宋"/>
          <w:bCs/>
          <w:sz w:val="32"/>
          <w:szCs w:val="32"/>
        </w:rPr>
        <w:t>年1月8日前向我单位邮寄以下材料供资格审核使用，请在邮件封面注明“信息材料与智能感知安徽省实验室博士招生申请考核材料”。（电子版提交至我实验室邮箱：imis@ahu.edu.cn，纸质版材料邮寄至安徽大学磬苑校区材料科学大楼A楼411室，信息材料与智能感知安徽省实验室，张喜凤老师，联系电话0551-63861714）</w:t>
      </w:r>
    </w:p>
    <w:p w14:paraId="2A43803D">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1.《博士学位研究生网上报名信息简表》（从报名系统下载打印，需考生本人签字、单位人事或政工部门盖章）；</w:t>
      </w:r>
    </w:p>
    <w:p w14:paraId="785ECA28">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2.《安徽大学硕博连读博士研究生申请表》或《安徽大学</w:t>
      </w:r>
      <w:r>
        <w:rPr>
          <w:rFonts w:hint="eastAsia" w:ascii="仿宋" w:hAnsi="仿宋" w:eastAsia="仿宋" w:cs="仿宋"/>
          <w:bCs/>
          <w:sz w:val="32"/>
          <w:szCs w:val="32"/>
          <w:lang w:eastAsia="zh-CN"/>
        </w:rPr>
        <w:t>“申请-考核”</w:t>
      </w:r>
      <w:r>
        <w:rPr>
          <w:rFonts w:hint="eastAsia" w:ascii="仿宋" w:hAnsi="仿宋" w:eastAsia="仿宋" w:cs="仿宋"/>
          <w:bCs/>
          <w:sz w:val="32"/>
          <w:szCs w:val="32"/>
        </w:rPr>
        <w:t>制博士研究生申请表》（从我校研究生院网站下载专区下载打印，需考生本人签字、单位人事或政工部门盖章）；</w:t>
      </w:r>
    </w:p>
    <w:p w14:paraId="296B6D23">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3.申请人本人身份证复印件；</w:t>
      </w:r>
    </w:p>
    <w:p w14:paraId="6D5C52A0">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4.本科毕业证、学位证和硕士研究生毕业证、学位证复印件（应届毕业硕士生提交所在学校研究生管理部门出具的在学证明）；</w:t>
      </w:r>
    </w:p>
    <w:p w14:paraId="18AAA5AC">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5.硕士研究生阶段成绩单；</w:t>
      </w:r>
    </w:p>
    <w:p w14:paraId="67622121">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6.申请学科或相近学科的两名正高职称《申请攻读安徽大学博士研究生专家推荐信》（从我校研究生院网站下载专区下载打印）；</w:t>
      </w:r>
    </w:p>
    <w:p w14:paraId="3DA5C8AA">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7.科研成果及获奖证书等证明学术才能的材料及各培养单位要求提供的相关材料。</w:t>
      </w:r>
    </w:p>
    <w:p w14:paraId="0EA7FC6B">
      <w:pPr>
        <w:spacing w:before="150" w:beforeLines="50"/>
        <w:ind w:firstLine="640" w:firstLineChars="200"/>
        <w:rPr>
          <w:rFonts w:ascii="仿宋" w:hAnsi="仿宋" w:eastAsia="仿宋" w:cs="仿宋"/>
          <w:bCs/>
          <w:sz w:val="32"/>
          <w:szCs w:val="32"/>
        </w:rPr>
      </w:pPr>
      <w:r>
        <w:rPr>
          <w:rFonts w:hint="eastAsia" w:ascii="仿宋" w:hAnsi="仿宋" w:eastAsia="仿宋" w:cs="仿宋"/>
          <w:bCs/>
          <w:sz w:val="32"/>
          <w:szCs w:val="32"/>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0F556B63">
      <w:pPr>
        <w:adjustRightInd w:val="0"/>
        <w:snapToGrid w:val="0"/>
        <w:spacing w:line="360" w:lineRule="auto"/>
        <w:rPr>
          <w:rFonts w:ascii="仿宋" w:hAnsi="仿宋" w:eastAsia="仿宋" w:cs="仿宋"/>
          <w:sz w:val="32"/>
          <w:szCs w:val="32"/>
        </w:rPr>
      </w:pPr>
    </w:p>
    <w:p w14:paraId="2ABA8EA4">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（二）综合考核选拔：</w:t>
      </w:r>
      <w:r>
        <w:rPr>
          <w:rFonts w:hint="eastAsia" w:ascii="仿宋" w:hAnsi="仿宋" w:eastAsia="仿宋" w:cs="仿宋"/>
          <w:sz w:val="32"/>
          <w:szCs w:val="32"/>
        </w:rPr>
        <w:t>本单位考核选拔小组对申请人的政治表现、业务能力、科研潜能与综合素质、外国语水平等进行考核，择优选拔推荐。低于60分的不予录取。</w:t>
      </w:r>
    </w:p>
    <w:p w14:paraId="03C234F4">
      <w:pPr>
        <w:widowControl/>
        <w:ind w:firstLine="703" w:firstLineChars="200"/>
        <w:rPr>
          <w:rFonts w:ascii="仿宋" w:hAnsi="仿宋" w:eastAsia="仿宋" w:cs="仿宋"/>
          <w:b/>
          <w:bCs/>
          <w:spacing w:val="15"/>
          <w:kern w:val="0"/>
          <w:sz w:val="32"/>
          <w:szCs w:val="32"/>
        </w:rPr>
      </w:pPr>
      <w:r>
        <w:rPr>
          <w:rFonts w:hint="eastAsia" w:ascii="仿宋" w:hAnsi="仿宋" w:eastAsia="仿宋" w:cs="仿宋"/>
          <w:b/>
          <w:bCs/>
          <w:spacing w:val="15"/>
          <w:kern w:val="0"/>
          <w:sz w:val="32"/>
          <w:szCs w:val="32"/>
        </w:rPr>
        <w:t>考核形式</w:t>
      </w:r>
    </w:p>
    <w:p w14:paraId="604EA7C2">
      <w:pPr>
        <w:shd w:val="clear" w:color="auto" w:fill="FFFFFF"/>
        <w:spacing w:line="360" w:lineRule="auto"/>
        <w:ind w:firstLine="640" w:firstLineChars="200"/>
        <w:jc w:val="left"/>
        <w:textAlignment w:val="top"/>
        <w:rPr>
          <w:rFonts w:ascii="仿宋" w:hAnsi="仿宋" w:eastAsia="仿宋" w:cs="仿宋"/>
          <w:strike/>
          <w:sz w:val="32"/>
          <w:szCs w:val="32"/>
        </w:rPr>
      </w:pPr>
      <w:r>
        <w:rPr>
          <w:rFonts w:hint="eastAsia" w:ascii="仿宋" w:hAnsi="仿宋" w:eastAsia="仿宋" w:cs="仿宋"/>
          <w:sz w:val="32"/>
          <w:szCs w:val="32"/>
        </w:rPr>
        <w:t>1.本单位考核采用现场面试形式，具体时间、地点另行通知。</w:t>
      </w:r>
    </w:p>
    <w:p w14:paraId="54951804">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面试由本单位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仿宋" w:hAnsi="仿宋" w:eastAsia="仿宋" w:cs="仿宋"/>
          <w:sz w:val="32"/>
          <w:szCs w:val="32"/>
        </w:rPr>
        <w:t>对申请人既往学业、一贯表现、科研能力、综合素质和思想品德等情况进行全面考查</w:t>
      </w:r>
      <w:bookmarkEnd w:id="0"/>
      <w:r>
        <w:rPr>
          <w:rFonts w:hint="eastAsia" w:ascii="仿宋" w:hAnsi="仿宋" w:eastAsia="仿宋" w:cs="仿宋"/>
          <w:sz w:val="32"/>
          <w:szCs w:val="32"/>
        </w:rPr>
        <w:t>。</w:t>
      </w:r>
    </w:p>
    <w:p w14:paraId="12A194FE">
      <w:pPr>
        <w:widowControl/>
        <w:spacing w:line="360" w:lineRule="auto"/>
        <w:ind w:firstLine="675" w:firstLineChars="200"/>
        <w:rPr>
          <w:rFonts w:ascii="仿宋" w:hAnsi="仿宋" w:eastAsia="仿宋" w:cs="仿宋"/>
          <w:spacing w:val="8"/>
          <w:kern w:val="0"/>
          <w:sz w:val="32"/>
          <w:szCs w:val="32"/>
          <w:shd w:val="clear" w:color="auto" w:fill="FFFFFF"/>
        </w:rPr>
      </w:pPr>
      <w:r>
        <w:rPr>
          <w:rFonts w:hint="eastAsia" w:ascii="仿宋" w:hAnsi="仿宋" w:eastAsia="仿宋" w:cs="仿宋"/>
          <w:b/>
          <w:spacing w:val="8"/>
          <w:kern w:val="0"/>
          <w:sz w:val="32"/>
          <w:szCs w:val="32"/>
          <w:shd w:val="clear" w:color="auto" w:fill="FFFFFF"/>
        </w:rPr>
        <w:t>面试成绩由三部分组成</w:t>
      </w:r>
      <w:r>
        <w:rPr>
          <w:rFonts w:hint="eastAsia" w:ascii="仿宋" w:hAnsi="仿宋" w:eastAsia="仿宋" w:cs="仿宋"/>
          <w:spacing w:val="8"/>
          <w:kern w:val="0"/>
          <w:sz w:val="32"/>
          <w:szCs w:val="32"/>
          <w:shd w:val="clear" w:color="auto" w:fill="FFFFFF"/>
        </w:rPr>
        <w:t>：</w:t>
      </w:r>
    </w:p>
    <w:p w14:paraId="43659A67">
      <w:pPr>
        <w:widowControl/>
        <w:spacing w:line="360" w:lineRule="auto"/>
        <w:ind w:firstLine="675" w:firstLineChars="200"/>
        <w:rPr>
          <w:rFonts w:ascii="仿宋" w:hAnsi="仿宋" w:eastAsia="仿宋" w:cs="仿宋"/>
          <w:sz w:val="32"/>
          <w:szCs w:val="32"/>
        </w:rPr>
      </w:pPr>
      <w:r>
        <w:rPr>
          <w:rFonts w:hint="eastAsia" w:ascii="仿宋" w:hAnsi="仿宋" w:eastAsia="仿宋" w:cs="仿宋"/>
          <w:b/>
          <w:spacing w:val="8"/>
          <w:kern w:val="0"/>
          <w:sz w:val="32"/>
          <w:szCs w:val="32"/>
          <w:shd w:val="clear" w:color="auto" w:fill="FFFFFF"/>
        </w:rPr>
        <w:t>外语水平（20分）</w:t>
      </w:r>
      <w:r>
        <w:rPr>
          <w:rFonts w:hint="eastAsia" w:ascii="仿宋" w:hAnsi="仿宋" w:eastAsia="仿宋" w:cs="仿宋"/>
          <w:spacing w:val="8"/>
          <w:kern w:val="0"/>
          <w:sz w:val="32"/>
          <w:szCs w:val="32"/>
          <w:shd w:val="clear" w:color="auto" w:fill="FFFFFF"/>
        </w:rPr>
        <w:t>：</w:t>
      </w:r>
      <w:r>
        <w:rPr>
          <w:rFonts w:hint="eastAsia" w:ascii="仿宋" w:hAnsi="仿宋" w:eastAsia="仿宋" w:cs="仿宋"/>
          <w:sz w:val="32"/>
          <w:szCs w:val="32"/>
        </w:rPr>
        <w:t>申请人需在面试现场朗读加翻译一段文献（文献由考核选拔小组指定),选拔小组成员根据申请人表现现场按百分制打分。</w:t>
      </w:r>
    </w:p>
    <w:p w14:paraId="703A83B0">
      <w:pPr>
        <w:widowControl/>
        <w:spacing w:line="360" w:lineRule="auto"/>
        <w:ind w:firstLine="675" w:firstLineChars="200"/>
        <w:rPr>
          <w:rFonts w:ascii="仿宋" w:hAnsi="仿宋" w:eastAsia="仿宋" w:cs="仿宋"/>
          <w:sz w:val="32"/>
          <w:szCs w:val="32"/>
        </w:rPr>
      </w:pPr>
      <w:r>
        <w:rPr>
          <w:rFonts w:hint="eastAsia" w:ascii="仿宋" w:hAnsi="仿宋" w:eastAsia="仿宋" w:cs="仿宋"/>
          <w:b/>
          <w:spacing w:val="8"/>
          <w:kern w:val="0"/>
          <w:sz w:val="32"/>
          <w:szCs w:val="32"/>
          <w:shd w:val="clear" w:color="auto" w:fill="FFFFFF"/>
        </w:rPr>
        <w:t>专业面试（4</w:t>
      </w:r>
      <w:r>
        <w:rPr>
          <w:rFonts w:ascii="仿宋" w:hAnsi="仿宋" w:eastAsia="仿宋" w:cs="仿宋"/>
          <w:b/>
          <w:spacing w:val="8"/>
          <w:kern w:val="0"/>
          <w:sz w:val="32"/>
          <w:szCs w:val="32"/>
          <w:shd w:val="clear" w:color="auto" w:fill="FFFFFF"/>
        </w:rPr>
        <w:t>0</w:t>
      </w:r>
      <w:r>
        <w:rPr>
          <w:rFonts w:hint="eastAsia" w:ascii="仿宋" w:hAnsi="仿宋" w:eastAsia="仿宋" w:cs="仿宋"/>
          <w:b/>
          <w:spacing w:val="8"/>
          <w:kern w:val="0"/>
          <w:sz w:val="32"/>
          <w:szCs w:val="32"/>
          <w:shd w:val="clear" w:color="auto" w:fill="FFFFFF"/>
        </w:rPr>
        <w:t>分）</w:t>
      </w:r>
      <w:r>
        <w:rPr>
          <w:rFonts w:hint="eastAsia" w:ascii="仿宋" w:hAnsi="仿宋" w:eastAsia="仿宋" w:cs="仿宋"/>
          <w:spacing w:val="8"/>
          <w:kern w:val="0"/>
          <w:sz w:val="32"/>
          <w:szCs w:val="32"/>
          <w:shd w:val="clear" w:color="auto" w:fill="FFFFFF"/>
        </w:rPr>
        <w:t>：</w:t>
      </w:r>
      <w:r>
        <w:rPr>
          <w:rFonts w:hint="eastAsia" w:ascii="仿宋" w:hAnsi="仿宋" w:eastAsia="仿宋" w:cs="仿宋"/>
          <w:sz w:val="32"/>
          <w:szCs w:val="32"/>
        </w:rPr>
        <w:t>由申请人以PPT形式作学业报告，考核选拔小组成员主要以提问方式对申请人进行面试，注重考察申请人的专业素养，创新能力和培养潜质。</w:t>
      </w:r>
    </w:p>
    <w:p w14:paraId="2BF5F1D8">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学业报告PPT应包含以下内容： </w:t>
      </w:r>
    </w:p>
    <w:p w14:paraId="4D1DDCDA">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（1）个人基本信息；</w:t>
      </w:r>
    </w:p>
    <w:p w14:paraId="3F0CAECF">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（2）学习和工作经历;</w:t>
      </w:r>
    </w:p>
    <w:p w14:paraId="5DE4AE3F">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（3）硕士阶段成绩，包括英语四/六级成绩；</w:t>
      </w:r>
    </w:p>
    <w:p w14:paraId="6B1078AA">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（4）所取得的学术成果简介；</w:t>
      </w:r>
    </w:p>
    <w:p w14:paraId="541537C4">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（5）博士期间的简要研究计划；</w:t>
      </w:r>
    </w:p>
    <w:p w14:paraId="494CF6F7">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（6）其他获奖以及公益活动等。</w:t>
      </w:r>
    </w:p>
    <w:p w14:paraId="716505C8">
      <w:pPr>
        <w:widowControl/>
        <w:spacing w:line="360" w:lineRule="auto"/>
        <w:ind w:firstLine="675" w:firstLineChars="200"/>
        <w:rPr>
          <w:rFonts w:ascii="仿宋" w:hAnsi="仿宋" w:eastAsia="仿宋" w:cs="仿宋"/>
          <w:sz w:val="32"/>
          <w:szCs w:val="32"/>
        </w:rPr>
      </w:pPr>
      <w:r>
        <w:rPr>
          <w:rFonts w:hint="eastAsia" w:ascii="仿宋" w:hAnsi="仿宋" w:eastAsia="仿宋" w:cs="仿宋"/>
          <w:b/>
          <w:spacing w:val="8"/>
          <w:kern w:val="0"/>
          <w:sz w:val="32"/>
          <w:szCs w:val="32"/>
          <w:shd w:val="clear" w:color="auto" w:fill="FFFFFF"/>
        </w:rPr>
        <w:t>综合测评（40分）</w:t>
      </w:r>
      <w:r>
        <w:rPr>
          <w:rFonts w:hint="eastAsia" w:ascii="仿宋" w:hAnsi="仿宋" w:eastAsia="仿宋" w:cs="仿宋"/>
          <w:spacing w:val="8"/>
          <w:kern w:val="0"/>
          <w:sz w:val="32"/>
          <w:szCs w:val="32"/>
          <w:shd w:val="clear" w:color="auto" w:fill="FFFFFF"/>
        </w:rPr>
        <w:t>：</w:t>
      </w:r>
      <w:r>
        <w:rPr>
          <w:rFonts w:hint="eastAsia" w:ascii="仿宋" w:hAnsi="仿宋" w:eastAsia="仿宋" w:cs="仿宋"/>
          <w:sz w:val="32"/>
          <w:szCs w:val="32"/>
        </w:rPr>
        <w:t>考核选拔小组根据申请人提供的学习成绩、科研成果、获奖证书等补充材料当场评分。</w:t>
      </w:r>
    </w:p>
    <w:p w14:paraId="203632E9">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考核选拔小组分别从以上三方面打分，最后计算总分，计算公式为</w:t>
      </w:r>
    </w:p>
    <w:p w14:paraId="5A5300B5">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总分=外语水平+专业面试+综合测评</w:t>
      </w:r>
    </w:p>
    <w:p w14:paraId="06641CEA">
      <w:pPr>
        <w:adjustRightInd w:val="0"/>
        <w:snapToGrid w:val="0"/>
        <w:ind w:firstLine="640" w:firstLineChars="200"/>
        <w:rPr>
          <w:rFonts w:ascii="仿宋" w:hAnsi="仿宋" w:eastAsia="仿宋" w:cs="仿宋"/>
          <w:sz w:val="32"/>
          <w:szCs w:val="32"/>
        </w:rPr>
      </w:pPr>
    </w:p>
    <w:p w14:paraId="3750F773">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（三）成绩排序和录取:</w:t>
      </w:r>
      <w:r>
        <w:rPr>
          <w:rFonts w:hint="eastAsia" w:ascii="仿宋" w:hAnsi="仿宋" w:eastAsia="仿宋" w:cs="仿宋"/>
          <w:sz w:val="32"/>
          <w:szCs w:val="32"/>
        </w:rPr>
        <w:t>根据每名博士生导师</w:t>
      </w:r>
      <w:r>
        <w:rPr>
          <w:rFonts w:hint="eastAsia" w:ascii="仿宋" w:hAnsi="仿宋" w:eastAsia="仿宋" w:cs="仿宋"/>
          <w:sz w:val="32"/>
          <w:szCs w:val="32"/>
          <w:lang w:val="en-US" w:eastAsia="zh-CN"/>
        </w:rPr>
        <w:t>学术学位博士研究生</w:t>
      </w:r>
      <w:r>
        <w:rPr>
          <w:rFonts w:hint="eastAsia" w:ascii="仿宋" w:hAnsi="仿宋" w:eastAsia="仿宋" w:cs="仿宋"/>
          <w:sz w:val="32"/>
          <w:szCs w:val="32"/>
        </w:rPr>
        <w:t xml:space="preserve">招生人数不超过1人的规定，按申请人报考导师情况，入围和录取顺序为：  </w:t>
      </w:r>
    </w:p>
    <w:p w14:paraId="284E9950">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1.每名有申请人报考的导师名下录取1人。</w:t>
      </w:r>
    </w:p>
    <w:p w14:paraId="48B3086E">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2.在入围申请人的人数多于招生指标的情况下，报考同一导师的申请人成绩按高低进行排序，择优录取。</w:t>
      </w:r>
    </w:p>
    <w:p w14:paraId="51A131EE">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3.公示。将考生复试成绩公示不少于5个工作日。</w:t>
      </w:r>
    </w:p>
    <w:p w14:paraId="1C085CEB">
      <w:pPr>
        <w:adjustRightInd w:val="0"/>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.学校审定。公示结束后将拟录取的博士生申请材料报送研究生招生办公室。学校研究生招生领导小组审定拟录取名单后，在研究生院网站公示不少于10个工作日。</w:t>
      </w:r>
    </w:p>
    <w:p w14:paraId="7D75B694">
      <w:pPr>
        <w:adjustRightInd w:val="0"/>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五、注意事宜</w:t>
      </w:r>
    </w:p>
    <w:p w14:paraId="4E91CAE7">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1.录取为</w:t>
      </w:r>
      <w:r>
        <w:rPr>
          <w:rFonts w:hint="eastAsia" w:ascii="仿宋" w:hAnsi="仿宋" w:eastAsia="仿宋" w:cs="仿宋"/>
          <w:sz w:val="32"/>
          <w:szCs w:val="32"/>
          <w:lang w:eastAsia="zh-CN"/>
        </w:rPr>
        <w:t>“申请-考核”</w:t>
      </w:r>
      <w:r>
        <w:rPr>
          <w:rFonts w:hint="eastAsia" w:ascii="仿宋" w:hAnsi="仿宋" w:eastAsia="仿宋" w:cs="仿宋"/>
          <w:sz w:val="32"/>
          <w:szCs w:val="32"/>
        </w:rPr>
        <w:t>制的应届硕士生，须在当年入学前毕业或获得硕士学位，否则取消博士入学资格。</w:t>
      </w:r>
    </w:p>
    <w:p w14:paraId="0640B03B">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2.录取为硕博连读的博士研究生，不做硕士学位论文，不授予硕士学位。</w:t>
      </w:r>
    </w:p>
    <w:p w14:paraId="643BA0E0">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录取为硕博连读博士生的，原则上不再批准转回硕士培养。确因特殊原因申请转为硕士培养的，自申请批准之日起，半年后方可公开进行硕士学位论文答辩。</w:t>
      </w:r>
    </w:p>
    <w:p w14:paraId="4B52AEA1">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硕博连读博士生学位论文未达到博士学位的要求但符合硕士学位的水平，可申请硕士学位。通过硕士论文答辩后，颁发硕士研究生毕业证书，授予硕士学位。</w:t>
      </w:r>
    </w:p>
    <w:p w14:paraId="0E9D017A">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3.录取的硕博连读和</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制博士生，原则上由培养单位、导师等提供相应的助研经费。</w:t>
      </w:r>
    </w:p>
    <w:p w14:paraId="43A2D70B">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六、其它</w:t>
      </w:r>
    </w:p>
    <w:p w14:paraId="744BD2DC">
      <w:pPr>
        <w:adjustRightInd w:val="0"/>
        <w:snapToGrid w:val="0"/>
        <w:spacing w:line="360" w:lineRule="auto"/>
        <w:ind w:firstLine="640" w:firstLineChars="200"/>
        <w:rPr>
          <w:rFonts w:ascii="宋体" w:hAnsi="宋体" w:eastAsia="宋体" w:cs="Times New Roman"/>
          <w:sz w:val="28"/>
          <w:szCs w:val="28"/>
        </w:rPr>
      </w:pPr>
      <w:r>
        <w:rPr>
          <w:rFonts w:hint="eastAsia" w:ascii="仿宋" w:hAnsi="仿宋" w:eastAsia="仿宋" w:cs="仿宋"/>
          <w:sz w:val="32"/>
          <w:szCs w:val="32"/>
        </w:rPr>
        <w:t>本办法在《安徽大学202</w:t>
      </w:r>
      <w:r>
        <w:rPr>
          <w:rFonts w:ascii="仿宋" w:hAnsi="仿宋" w:eastAsia="仿宋" w:cs="仿宋"/>
          <w:sz w:val="32"/>
          <w:szCs w:val="32"/>
        </w:rPr>
        <w:t>5</w:t>
      </w:r>
      <w:r>
        <w:rPr>
          <w:rFonts w:hint="eastAsia" w:ascii="仿宋" w:hAnsi="仿宋" w:eastAsia="仿宋" w:cs="仿宋"/>
          <w:sz w:val="32"/>
          <w:szCs w:val="32"/>
        </w:rPr>
        <w:t>年硕博连读与</w:t>
      </w:r>
      <w:r>
        <w:rPr>
          <w:rFonts w:hint="eastAsia" w:ascii="仿宋" w:hAnsi="仿宋" w:eastAsia="仿宋" w:cs="仿宋"/>
          <w:sz w:val="32"/>
          <w:szCs w:val="32"/>
          <w:lang w:eastAsia="zh-CN"/>
        </w:rPr>
        <w:t>“申请-考核”</w:t>
      </w:r>
      <w:r>
        <w:rPr>
          <w:rFonts w:hint="eastAsia" w:ascii="仿宋" w:hAnsi="仿宋" w:eastAsia="仿宋" w:cs="仿宋"/>
          <w:sz w:val="32"/>
          <w:szCs w:val="32"/>
        </w:rPr>
        <w:t>制博士研究生选拔工作实施办法》基础上制定，办法中未提到的部分一律按学校的文件执行。本办法未尽事宜由本单位选拔工作小组研究决定。</w:t>
      </w:r>
      <w:bookmarkStart w:id="1" w:name="_GoBack"/>
      <w:bookmarkEnd w:id="1"/>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lMGJlZGZmN2IyNzJhZjM0YWVhZWZlNDgyZjMwYzgifQ=="/>
  </w:docVars>
  <w:rsids>
    <w:rsidRoot w:val="00545873"/>
    <w:rsid w:val="00003542"/>
    <w:rsid w:val="00016AB4"/>
    <w:rsid w:val="00020E35"/>
    <w:rsid w:val="00037119"/>
    <w:rsid w:val="00043FAE"/>
    <w:rsid w:val="000558B2"/>
    <w:rsid w:val="00062275"/>
    <w:rsid w:val="00065569"/>
    <w:rsid w:val="000801AA"/>
    <w:rsid w:val="00081761"/>
    <w:rsid w:val="00091D4A"/>
    <w:rsid w:val="00092E0A"/>
    <w:rsid w:val="000962AC"/>
    <w:rsid w:val="000A1843"/>
    <w:rsid w:val="000A2835"/>
    <w:rsid w:val="000A6E76"/>
    <w:rsid w:val="000B2501"/>
    <w:rsid w:val="000B30F2"/>
    <w:rsid w:val="000D004A"/>
    <w:rsid w:val="000D4722"/>
    <w:rsid w:val="000D7C23"/>
    <w:rsid w:val="00113978"/>
    <w:rsid w:val="001148BF"/>
    <w:rsid w:val="001157EE"/>
    <w:rsid w:val="00132E1D"/>
    <w:rsid w:val="001465D7"/>
    <w:rsid w:val="00151F04"/>
    <w:rsid w:val="0017164B"/>
    <w:rsid w:val="00177D6A"/>
    <w:rsid w:val="00193C4E"/>
    <w:rsid w:val="0019686B"/>
    <w:rsid w:val="001B6393"/>
    <w:rsid w:val="001F1E56"/>
    <w:rsid w:val="001F770A"/>
    <w:rsid w:val="00202061"/>
    <w:rsid w:val="00205587"/>
    <w:rsid w:val="00214F3B"/>
    <w:rsid w:val="002363ED"/>
    <w:rsid w:val="0023764D"/>
    <w:rsid w:val="0026004D"/>
    <w:rsid w:val="00285E74"/>
    <w:rsid w:val="002E0B4B"/>
    <w:rsid w:val="002E60DF"/>
    <w:rsid w:val="002F06F9"/>
    <w:rsid w:val="00327ABB"/>
    <w:rsid w:val="00371337"/>
    <w:rsid w:val="003737CD"/>
    <w:rsid w:val="003751A9"/>
    <w:rsid w:val="00380294"/>
    <w:rsid w:val="0038196D"/>
    <w:rsid w:val="00381E06"/>
    <w:rsid w:val="003A7739"/>
    <w:rsid w:val="003A7ABB"/>
    <w:rsid w:val="003B12C1"/>
    <w:rsid w:val="004074A5"/>
    <w:rsid w:val="0041530E"/>
    <w:rsid w:val="00420CB9"/>
    <w:rsid w:val="00450964"/>
    <w:rsid w:val="00452D1E"/>
    <w:rsid w:val="00455A50"/>
    <w:rsid w:val="00486158"/>
    <w:rsid w:val="00490782"/>
    <w:rsid w:val="004D4215"/>
    <w:rsid w:val="004E7574"/>
    <w:rsid w:val="00514E82"/>
    <w:rsid w:val="005156DA"/>
    <w:rsid w:val="00520BCF"/>
    <w:rsid w:val="00522A11"/>
    <w:rsid w:val="005414CC"/>
    <w:rsid w:val="00545873"/>
    <w:rsid w:val="005463B2"/>
    <w:rsid w:val="0056533C"/>
    <w:rsid w:val="00590DEF"/>
    <w:rsid w:val="00593781"/>
    <w:rsid w:val="005D3399"/>
    <w:rsid w:val="005E7D29"/>
    <w:rsid w:val="0060731A"/>
    <w:rsid w:val="00617FFC"/>
    <w:rsid w:val="00645482"/>
    <w:rsid w:val="00656DE1"/>
    <w:rsid w:val="00663B8E"/>
    <w:rsid w:val="006674BB"/>
    <w:rsid w:val="00673685"/>
    <w:rsid w:val="0069020C"/>
    <w:rsid w:val="00691875"/>
    <w:rsid w:val="00691CFD"/>
    <w:rsid w:val="006B08F0"/>
    <w:rsid w:val="006C7F4D"/>
    <w:rsid w:val="006D54A3"/>
    <w:rsid w:val="006F53CD"/>
    <w:rsid w:val="006F6E3F"/>
    <w:rsid w:val="006F7700"/>
    <w:rsid w:val="00700ECD"/>
    <w:rsid w:val="00703BE5"/>
    <w:rsid w:val="00706D92"/>
    <w:rsid w:val="00707B60"/>
    <w:rsid w:val="00715E6C"/>
    <w:rsid w:val="0074533B"/>
    <w:rsid w:val="007470D0"/>
    <w:rsid w:val="0077753B"/>
    <w:rsid w:val="00780038"/>
    <w:rsid w:val="007B78FE"/>
    <w:rsid w:val="007C2569"/>
    <w:rsid w:val="007C3F01"/>
    <w:rsid w:val="007D0CC6"/>
    <w:rsid w:val="007D61F6"/>
    <w:rsid w:val="007E3FA2"/>
    <w:rsid w:val="00856959"/>
    <w:rsid w:val="00874934"/>
    <w:rsid w:val="008A4BEC"/>
    <w:rsid w:val="008B16BE"/>
    <w:rsid w:val="008C0E4D"/>
    <w:rsid w:val="008C7D9D"/>
    <w:rsid w:val="008D623D"/>
    <w:rsid w:val="008E2614"/>
    <w:rsid w:val="008F0169"/>
    <w:rsid w:val="00900BEA"/>
    <w:rsid w:val="00906DA9"/>
    <w:rsid w:val="009434D0"/>
    <w:rsid w:val="00945E39"/>
    <w:rsid w:val="009620CE"/>
    <w:rsid w:val="0096745B"/>
    <w:rsid w:val="009B6CB0"/>
    <w:rsid w:val="009C0385"/>
    <w:rsid w:val="009C12AF"/>
    <w:rsid w:val="009C5E72"/>
    <w:rsid w:val="009C7DF0"/>
    <w:rsid w:val="009D21AA"/>
    <w:rsid w:val="00A00511"/>
    <w:rsid w:val="00A20F89"/>
    <w:rsid w:val="00A2108F"/>
    <w:rsid w:val="00A22810"/>
    <w:rsid w:val="00A43000"/>
    <w:rsid w:val="00A4425B"/>
    <w:rsid w:val="00A46FB2"/>
    <w:rsid w:val="00A65768"/>
    <w:rsid w:val="00A77E36"/>
    <w:rsid w:val="00A8010F"/>
    <w:rsid w:val="00A855A7"/>
    <w:rsid w:val="00AB629F"/>
    <w:rsid w:val="00AD4230"/>
    <w:rsid w:val="00AE1116"/>
    <w:rsid w:val="00AF491B"/>
    <w:rsid w:val="00B12802"/>
    <w:rsid w:val="00B2093F"/>
    <w:rsid w:val="00B238CC"/>
    <w:rsid w:val="00B30D3D"/>
    <w:rsid w:val="00B33A42"/>
    <w:rsid w:val="00B47DE3"/>
    <w:rsid w:val="00B5033C"/>
    <w:rsid w:val="00B66CC3"/>
    <w:rsid w:val="00B72998"/>
    <w:rsid w:val="00B85446"/>
    <w:rsid w:val="00BC0904"/>
    <w:rsid w:val="00BE0DF1"/>
    <w:rsid w:val="00BE1949"/>
    <w:rsid w:val="00BE33DE"/>
    <w:rsid w:val="00BE67DF"/>
    <w:rsid w:val="00BF2A7B"/>
    <w:rsid w:val="00BF6D10"/>
    <w:rsid w:val="00C057AF"/>
    <w:rsid w:val="00C20DF6"/>
    <w:rsid w:val="00C40CB7"/>
    <w:rsid w:val="00C42884"/>
    <w:rsid w:val="00C6217A"/>
    <w:rsid w:val="00C94021"/>
    <w:rsid w:val="00CA7E7C"/>
    <w:rsid w:val="00CC5064"/>
    <w:rsid w:val="00CF224A"/>
    <w:rsid w:val="00CF31DC"/>
    <w:rsid w:val="00D07775"/>
    <w:rsid w:val="00D1174D"/>
    <w:rsid w:val="00D2135F"/>
    <w:rsid w:val="00D312DE"/>
    <w:rsid w:val="00D47120"/>
    <w:rsid w:val="00D84C5A"/>
    <w:rsid w:val="00D97350"/>
    <w:rsid w:val="00DA7CD4"/>
    <w:rsid w:val="00DB499A"/>
    <w:rsid w:val="00DC4BD3"/>
    <w:rsid w:val="00E037A9"/>
    <w:rsid w:val="00E148B4"/>
    <w:rsid w:val="00E16F4C"/>
    <w:rsid w:val="00E2112E"/>
    <w:rsid w:val="00E23485"/>
    <w:rsid w:val="00E3437F"/>
    <w:rsid w:val="00E3540C"/>
    <w:rsid w:val="00E83B0D"/>
    <w:rsid w:val="00E85927"/>
    <w:rsid w:val="00E86ED9"/>
    <w:rsid w:val="00EA25A3"/>
    <w:rsid w:val="00EB0AE9"/>
    <w:rsid w:val="00EC14C2"/>
    <w:rsid w:val="00EE41A0"/>
    <w:rsid w:val="00EE6948"/>
    <w:rsid w:val="00F00811"/>
    <w:rsid w:val="00F05D5B"/>
    <w:rsid w:val="00F32F09"/>
    <w:rsid w:val="00F71956"/>
    <w:rsid w:val="00F76467"/>
    <w:rsid w:val="00FA5530"/>
    <w:rsid w:val="00FA64A9"/>
    <w:rsid w:val="00FB598F"/>
    <w:rsid w:val="00FC53EC"/>
    <w:rsid w:val="00FC593A"/>
    <w:rsid w:val="00FD2ABE"/>
    <w:rsid w:val="00FD358C"/>
    <w:rsid w:val="00FD68B1"/>
    <w:rsid w:val="04F870BF"/>
    <w:rsid w:val="070B2201"/>
    <w:rsid w:val="09D84737"/>
    <w:rsid w:val="0C181685"/>
    <w:rsid w:val="14EA4360"/>
    <w:rsid w:val="1944785D"/>
    <w:rsid w:val="239B329B"/>
    <w:rsid w:val="2B6C63E0"/>
    <w:rsid w:val="2C912B71"/>
    <w:rsid w:val="3DD65413"/>
    <w:rsid w:val="452C5E9B"/>
    <w:rsid w:val="49AB4164"/>
    <w:rsid w:val="4F315A86"/>
    <w:rsid w:val="53F00B8B"/>
    <w:rsid w:val="54287F65"/>
    <w:rsid w:val="5EFA5268"/>
    <w:rsid w:val="6AA742F6"/>
    <w:rsid w:val="70F65463"/>
    <w:rsid w:val="782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1"/>
    <w:basedOn w:val="7"/>
    <w:link w:val="2"/>
    <w:autoRedefine/>
    <w:qFormat/>
    <w:uiPriority w:val="0"/>
    <w:rPr>
      <w:sz w:val="18"/>
      <w:szCs w:val="18"/>
    </w:rPr>
  </w:style>
  <w:style w:type="character" w:customStyle="1" w:styleId="12">
    <w:name w:val="批注框文本 字符"/>
    <w:basedOn w:val="7"/>
    <w:autoRedefine/>
    <w:semiHidden/>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western"/>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2098</Words>
  <Characters>2204</Characters>
  <Lines>16</Lines>
  <Paragraphs>4</Paragraphs>
  <TotalTime>77</TotalTime>
  <ScaleCrop>false</ScaleCrop>
  <LinksUpToDate>false</LinksUpToDate>
  <CharactersWithSpaces>2211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2021-12-23T09:17:00Z</dcterms:created>
  <dc:creator>20170912JHGYU</dc:creator>
  <cp:lastModifiedBy>:)</cp:lastModifiedBy>
  <dcterms:modified xsi:type="dcterms:W3CDTF">2024-12-26T03:18:38Z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76329865E4E54A998E1D3DFE350A9BE0</vt:lpwstr>
  </property>
</Properties>
</file>