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C3AF4">
      <w:pPr>
        <w:pStyle w:val="2"/>
        <w:spacing w:before="0" w:line="560" w:lineRule="exact"/>
        <w:ind w:left="0" w:right="0"/>
        <w:rPr>
          <w:rFonts w:ascii="Times New Roman" w:hAnsi="Times New Roman" w:eastAsia="华文宋体" w:cs="Times New Roman"/>
          <w:b w:val="0"/>
          <w:sz w:val="40"/>
          <w:szCs w:val="36"/>
        </w:rPr>
      </w:pPr>
      <w:r>
        <w:rPr>
          <w:rFonts w:ascii="Times New Roman" w:hAnsi="Times New Roman" w:eastAsia="华文宋体" w:cs="Times New Roman"/>
          <w:sz w:val="40"/>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eastAsia="华文宋体" w:cs="Times New Roman"/>
          <w:sz w:val="40"/>
          <w:szCs w:val="36"/>
        </w:rPr>
        <w:instrText xml:space="preserve">ADDIN CNKISM.UserStyle</w:instrText>
      </w:r>
      <w:r>
        <w:rPr>
          <w:rFonts w:ascii="Times New Roman" w:hAnsi="Times New Roman" w:eastAsia="华文宋体" w:cs="Times New Roman"/>
          <w:sz w:val="40"/>
          <w:szCs w:val="36"/>
        </w:rPr>
        <w:fldChar w:fldCharType="end"/>
      </w:r>
      <w:r>
        <w:rPr>
          <w:rFonts w:ascii="Times New Roman" w:hAnsi="Times New Roman" w:eastAsia="华文宋体" w:cs="Times New Roman"/>
          <w:sz w:val="40"/>
          <w:szCs w:val="36"/>
        </w:rPr>
        <w:t>广东外语外贸大学英语语言文化学院</w:t>
      </w:r>
    </w:p>
    <w:p w14:paraId="117AD82C">
      <w:pPr>
        <w:pStyle w:val="2"/>
        <w:spacing w:before="0" w:line="560" w:lineRule="exact"/>
        <w:ind w:left="0" w:right="0"/>
        <w:rPr>
          <w:rFonts w:ascii="Times New Roman" w:hAnsi="Times New Roman" w:eastAsia="华文宋体" w:cs="Times New Roman"/>
          <w:sz w:val="40"/>
          <w:szCs w:val="36"/>
        </w:rPr>
      </w:pPr>
      <w:r>
        <w:rPr>
          <w:rFonts w:ascii="Times New Roman" w:hAnsi="Times New Roman" w:eastAsia="华文宋体" w:cs="Times New Roman"/>
          <w:sz w:val="40"/>
          <w:szCs w:val="36"/>
        </w:rPr>
        <w:t>“申请-考核”制选拔博士研究生工作实施细则</w:t>
      </w:r>
    </w:p>
    <w:p w14:paraId="18498F10">
      <w:pPr>
        <w:pStyle w:val="5"/>
        <w:spacing w:before="0" w:line="240" w:lineRule="atLeast"/>
        <w:ind w:left="0" w:firstLine="0"/>
        <w:jc w:val="both"/>
        <w:rPr>
          <w:rFonts w:ascii="仿宋_GB2312" w:eastAsia="仿宋_GB2312"/>
          <w:b/>
          <w:sz w:val="21"/>
          <w:szCs w:val="21"/>
        </w:rPr>
      </w:pPr>
    </w:p>
    <w:p w14:paraId="39D69014">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第一章 总则</w:t>
      </w:r>
    </w:p>
    <w:p w14:paraId="0B796E09">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第一条 </w:t>
      </w:r>
      <w:r>
        <w:rPr>
          <w:rFonts w:hint="eastAsia" w:ascii="仿宋_GB2312" w:eastAsia="仿宋_GB2312"/>
          <w:sz w:val="28"/>
          <w:szCs w:val="28"/>
        </w:rPr>
        <w:t>根据《广东外语外贸大学“申请-考核”制选拔博士研究生工作办法》，制定本实施细则。</w:t>
      </w:r>
    </w:p>
    <w:p w14:paraId="53769F0E">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第二条 </w:t>
      </w:r>
      <w:r>
        <w:rPr>
          <w:rFonts w:hint="eastAsia" w:ascii="仿宋_GB2312" w:eastAsia="仿宋_GB2312"/>
          <w:sz w:val="28"/>
          <w:szCs w:val="28"/>
        </w:rPr>
        <w:t>“申请-考核”制是指考生提交用以证明其学习能力、知识结构和科研潜质的申请材料，学院组织专家对材料进行资格审核，通过后直接进入“综合考核”环节，按本实施细则确定的录取办法录取博士研究生的招生方式。</w:t>
      </w:r>
    </w:p>
    <w:p w14:paraId="3169D049">
      <w:pPr>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第三条 </w:t>
      </w:r>
      <w:r>
        <w:rPr>
          <w:rFonts w:hint="eastAsia" w:ascii="仿宋_GB2312" w:eastAsia="仿宋_GB2312"/>
          <w:sz w:val="28"/>
          <w:szCs w:val="28"/>
        </w:rPr>
        <w:t>工作原则</w:t>
      </w:r>
    </w:p>
    <w:p w14:paraId="2D1D0D49">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（一）充分发挥专家组审核作用，尊重导师组招收博士研究生的自主权；</w:t>
      </w:r>
    </w:p>
    <w:p w14:paraId="0BBCD976">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（二）公开、公平、公正。做到政策透明、程序公正、结果公开、监督机制健全、维护招生工作的严肃性；</w:t>
      </w:r>
    </w:p>
    <w:p w14:paraId="413BACFA">
      <w:pPr>
        <w:pStyle w:val="5"/>
        <w:tabs>
          <w:tab w:val="left" w:pos="1564"/>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（三）全面考查，突出重点，科学评价。强化对申请人专业学术潜质和科研创新能力等方面的审核，确保录取生源质量。</w:t>
      </w:r>
    </w:p>
    <w:p w14:paraId="653A1F54">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第二章 组织管理</w:t>
      </w:r>
    </w:p>
    <w:p w14:paraId="032DCBAC">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第四条</w:t>
      </w:r>
      <w:r>
        <w:rPr>
          <w:rFonts w:ascii="仿宋_GB2312" w:eastAsia="仿宋_GB2312"/>
          <w:b/>
          <w:sz w:val="28"/>
          <w:szCs w:val="28"/>
        </w:rPr>
        <w:t xml:space="preserve"> </w:t>
      </w:r>
      <w:r>
        <w:rPr>
          <w:rFonts w:hint="eastAsia" w:ascii="仿宋_GB2312" w:eastAsia="仿宋_GB2312"/>
          <w:sz w:val="28"/>
          <w:szCs w:val="28"/>
        </w:rPr>
        <w:t>学院研究生招生工作领导小组负责英语语言文学、</w:t>
      </w:r>
      <w:bookmarkStart w:id="0" w:name="_Hlk115444004"/>
      <w:r>
        <w:rPr>
          <w:rFonts w:hint="eastAsia" w:ascii="仿宋_GB2312" w:eastAsia="仿宋_GB2312"/>
          <w:sz w:val="28"/>
          <w:szCs w:val="28"/>
        </w:rPr>
        <w:t>外语教学技术与评估</w:t>
      </w:r>
      <w:bookmarkEnd w:id="0"/>
      <w:r>
        <w:rPr>
          <w:rFonts w:hint="eastAsia" w:ascii="仿宋_GB2312" w:eastAsia="仿宋_GB2312"/>
          <w:sz w:val="28"/>
          <w:szCs w:val="28"/>
        </w:rPr>
        <w:t>“申请-考核”制博士研究生招生工作的组织与管理。</w:t>
      </w:r>
    </w:p>
    <w:p w14:paraId="131DE2E7">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第五条</w:t>
      </w:r>
      <w:r>
        <w:rPr>
          <w:rFonts w:ascii="仿宋_GB2312" w:eastAsia="仿宋_GB2312"/>
          <w:b/>
          <w:sz w:val="28"/>
          <w:szCs w:val="28"/>
        </w:rPr>
        <w:t xml:space="preserve"> </w:t>
      </w:r>
      <w:r>
        <w:rPr>
          <w:rFonts w:hint="eastAsia" w:ascii="仿宋_GB2312" w:eastAsia="仿宋_GB2312"/>
          <w:sz w:val="28"/>
          <w:szCs w:val="28"/>
        </w:rPr>
        <w:t>学院成立材料审核专家组，负责申请人的材料审核。该专家组由英语语言文学、外语教学技术与评估及相关学科具备高级职称的专家组成，人数为不少于 3 人的单数，负责审核申请人提交的相关材料，并根据第五章“选拔标准”确定参加面试考核的名单。</w:t>
      </w:r>
    </w:p>
    <w:p w14:paraId="164E5385">
      <w:pPr>
        <w:pStyle w:val="5"/>
        <w:tabs>
          <w:tab w:val="left" w:pos="1564"/>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 xml:space="preserve">学院按相近学科方向成立若干综合考核专家组，负责对申请人进行综合考核。综合考核专家组由英语语言文学、外语教学技术与评估及相关学科具备高级职称的专家组成，人数为不少于 5 人的单数，一般应包含不少于3名博士生导师，负责对参加面试考核的申请人进行面试考核。 </w:t>
      </w:r>
      <w:r>
        <w:rPr>
          <w:rFonts w:ascii="仿宋_GB2312" w:eastAsia="仿宋_GB2312"/>
          <w:sz w:val="28"/>
          <w:szCs w:val="28"/>
        </w:rPr>
        <w:t xml:space="preserve">  </w:t>
      </w:r>
    </w:p>
    <w:p w14:paraId="529D7B38">
      <w:pPr>
        <w:pStyle w:val="5"/>
        <w:tabs>
          <w:tab w:val="left" w:pos="1564"/>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材料审核专家组和综合考核专家组名单均需经学院研究生招生工作领导小组审查同意后，报研究生院审核备案。</w:t>
      </w:r>
    </w:p>
    <w:p w14:paraId="79178627">
      <w:pPr>
        <w:pStyle w:val="5"/>
        <w:tabs>
          <w:tab w:val="left" w:pos="1583"/>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第六条</w:t>
      </w:r>
      <w:r>
        <w:rPr>
          <w:rFonts w:ascii="仿宋_GB2312" w:eastAsia="仿宋_GB2312"/>
          <w:b/>
          <w:sz w:val="28"/>
          <w:szCs w:val="28"/>
        </w:rPr>
        <w:t xml:space="preserve"> </w:t>
      </w:r>
      <w:r>
        <w:rPr>
          <w:rFonts w:hint="eastAsia" w:ascii="仿宋_GB2312" w:eastAsia="仿宋_GB2312"/>
          <w:sz w:val="28"/>
          <w:szCs w:val="28"/>
        </w:rPr>
        <w:t>有亲属关系或其他可能影响公正情形的人员应当回避审核或考核等工作。</w:t>
      </w:r>
    </w:p>
    <w:p w14:paraId="2BCD3B91">
      <w:pPr>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第七条 </w:t>
      </w:r>
      <w:r>
        <w:rPr>
          <w:rFonts w:hint="eastAsia" w:ascii="仿宋_GB2312" w:eastAsia="仿宋_GB2312"/>
          <w:sz w:val="28"/>
          <w:szCs w:val="28"/>
        </w:rPr>
        <w:t>通过“申请-考核”制招收的博士研究生人数占导师当年的招生计划。</w:t>
      </w:r>
    </w:p>
    <w:p w14:paraId="5C7D7EEC">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第三章 申请条件</w:t>
      </w:r>
    </w:p>
    <w:p w14:paraId="079A3795">
      <w:pPr>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第九条</w:t>
      </w:r>
      <w:r>
        <w:rPr>
          <w:rFonts w:ascii="仿宋_GB2312" w:eastAsia="仿宋_GB2312"/>
          <w:b/>
          <w:sz w:val="28"/>
          <w:szCs w:val="28"/>
        </w:rPr>
        <w:t xml:space="preserve"> </w:t>
      </w:r>
      <w:r>
        <w:rPr>
          <w:rFonts w:hint="eastAsia" w:ascii="仿宋_GB2312" w:eastAsia="仿宋_GB2312"/>
          <w:sz w:val="28"/>
          <w:szCs w:val="28"/>
        </w:rPr>
        <w:t>申请人须符合我校招生简章中规定的博士研究生报考条件，且有两名英语语言文学学科、外语教学技术与评估或者相近学科的教授推荐。除导师明确要求以外，不限制考生跨专业报考，但在报考前应征得所报考导师的同意。</w:t>
      </w:r>
    </w:p>
    <w:p w14:paraId="29049F26">
      <w:pPr>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第十条 </w:t>
      </w:r>
      <w:r>
        <w:rPr>
          <w:rFonts w:hint="eastAsia" w:ascii="仿宋_GB2312" w:eastAsia="仿宋_GB2312"/>
          <w:sz w:val="28"/>
          <w:szCs w:val="28"/>
        </w:rPr>
        <w:t>学历学位条件</w:t>
      </w:r>
    </w:p>
    <w:p w14:paraId="371207A6">
      <w:pPr>
        <w:spacing w:line="600" w:lineRule="exact"/>
        <w:ind w:firstLine="560" w:firstLineChars="200"/>
        <w:jc w:val="both"/>
        <w:rPr>
          <w:rFonts w:ascii="仿宋_GB2312" w:eastAsia="仿宋_GB2312"/>
          <w:sz w:val="28"/>
          <w:szCs w:val="28"/>
        </w:rPr>
      </w:pPr>
      <w:r>
        <w:rPr>
          <w:rFonts w:hint="eastAsia" w:ascii="仿宋_GB2312" w:eastAsia="仿宋_GB2312"/>
          <w:sz w:val="28"/>
          <w:szCs w:val="28"/>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2A13386F">
      <w:pPr>
        <w:tabs>
          <w:tab w:val="left" w:pos="1804"/>
        </w:tabs>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第十一条 </w:t>
      </w:r>
      <w:r>
        <w:rPr>
          <w:rFonts w:hint="eastAsia" w:ascii="仿宋_GB2312" w:eastAsia="仿宋_GB2312"/>
          <w:sz w:val="28"/>
          <w:szCs w:val="28"/>
        </w:rPr>
        <w:t>申请人应对学术研究有浓厚的兴趣，有明确的英语语言文学或外语教学技术与评估学科研究方向，具备良好的科研潜质和创新能力，并提供相应的学术成果和外语水平证明材料。本科或硕士研究生阶段非英语专业考生还需要提供大学英语六级、雅思或托福成绩。</w:t>
      </w:r>
    </w:p>
    <w:p w14:paraId="54F096E7">
      <w:pPr>
        <w:tabs>
          <w:tab w:val="left" w:pos="1804"/>
        </w:tabs>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第十二条 </w:t>
      </w:r>
      <w:r>
        <w:rPr>
          <w:rFonts w:hint="eastAsia" w:ascii="仿宋_GB2312" w:eastAsia="仿宋_GB2312"/>
          <w:sz w:val="28"/>
          <w:szCs w:val="28"/>
        </w:rPr>
        <w:t>申请人具有良好的思想道德品质，遵纪守法，诚实守信，身心健康。</w:t>
      </w:r>
    </w:p>
    <w:p w14:paraId="6621D36D">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第四章 材料审核</w:t>
      </w:r>
    </w:p>
    <w:p w14:paraId="6E91C454">
      <w:pPr>
        <w:tabs>
          <w:tab w:val="left" w:pos="1559"/>
        </w:tabs>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第十三条 </w:t>
      </w:r>
      <w:r>
        <w:rPr>
          <w:rFonts w:hint="eastAsia" w:ascii="仿宋_GB2312" w:eastAsia="仿宋_GB2312"/>
          <w:sz w:val="28"/>
          <w:szCs w:val="28"/>
        </w:rPr>
        <w:t>申请程序和材料</w:t>
      </w:r>
    </w:p>
    <w:p w14:paraId="6B367BFC">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（一）申请人按当年度博士研究生招生简章要求，向报考导师提出申请，在规定时间内将全部申请材料提交至学院研究生工作办公室，并完成网上报名手续。</w:t>
      </w:r>
    </w:p>
    <w:p w14:paraId="532640B1">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（二）申请人需提交的申请材料：</w:t>
      </w:r>
    </w:p>
    <w:p w14:paraId="6668A78A">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1. 广东外语外贸大学“申请-考核”制选拔博士研究生申请表；</w:t>
      </w:r>
    </w:p>
    <w:p w14:paraId="285B3F68">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2. 博士研究生报名登记表（网上报名后打印下载）；</w:t>
      </w:r>
    </w:p>
    <w:p w14:paraId="749952C1">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3. 身份证以及本科、硕士研究生阶段学历、学位证书复印件和学历认证报告（应届硕士生须提供在读证明并在入学报到后补交学历、学位复印件、学历认证报告）；</w:t>
      </w:r>
    </w:p>
    <w:p w14:paraId="24227781">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4. 硕士阶段的成绩单原件（复印件需加盖成绩管理部门或者档案管理部门公章）；</w:t>
      </w:r>
    </w:p>
    <w:p w14:paraId="20D73F46">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5. 硕士学位论文的复印件（应届生须提交开题报告及完成部分的论文初稿）；就读国(境)外学校不要求撰写硕士学位论文者，须提交能够代表自身学术能力的代表性中外文专著、论文、项目研究成果、调研报告等材料；</w:t>
      </w:r>
    </w:p>
    <w:p w14:paraId="23799DDC">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6. 两名英语语言文学、外语教学技术与评估学科或相近学科的教授出具的专家推荐书；</w:t>
      </w:r>
    </w:p>
    <w:p w14:paraId="357FE57E">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7. 英语成绩单复印件（本科或硕士研究生阶段非英语专业考生提供）；</w:t>
      </w:r>
    </w:p>
    <w:p w14:paraId="7E42752E">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8. 攻读博士学位阶段拟开展的研究计划书。包含选题依据、学术价值、研究方向、研究问题（博士论文选题构想）、研究方法、参考文献等，研究计划书须用英语撰写，具体要求见第十六条；</w:t>
      </w:r>
    </w:p>
    <w:p w14:paraId="4522F0A2">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9. 从事相关工作的获奖证书、专业研究著作、论文、工作业绩证明等材料；</w:t>
      </w:r>
    </w:p>
    <w:p w14:paraId="4CE8AEF4">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10. 国际或国内学术会议的参会证明或论文宣读证明，会议议程等；</w:t>
      </w:r>
    </w:p>
    <w:p w14:paraId="388B6F26">
      <w:pPr>
        <w:tabs>
          <w:tab w:val="left" w:pos="96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11. 二级甲等及以上医院出具的体检表。</w:t>
      </w:r>
    </w:p>
    <w:p w14:paraId="05F49C55">
      <w:pPr>
        <w:pStyle w:val="5"/>
        <w:tabs>
          <w:tab w:val="left" w:pos="1802"/>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申请人必须保证各项申请材料的真实性和准确性。</w:t>
      </w:r>
    </w:p>
    <w:p w14:paraId="2CFDD85B">
      <w:pPr>
        <w:pStyle w:val="5"/>
        <w:tabs>
          <w:tab w:val="left" w:pos="1079"/>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第十四条  </w:t>
      </w:r>
      <w:r>
        <w:rPr>
          <w:rFonts w:hint="eastAsia" w:ascii="仿宋_GB2312" w:eastAsia="仿宋_GB2312"/>
          <w:sz w:val="28"/>
          <w:szCs w:val="28"/>
        </w:rPr>
        <w:t>资格审查</w:t>
      </w:r>
    </w:p>
    <w:p w14:paraId="02E4E03B">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（一）学院在规定时间内接收考生提交的申请材料，并对材料进行形式审查。</w:t>
      </w:r>
    </w:p>
    <w:p w14:paraId="24A8BA93">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二）学院材料审核专家组按照英语语言文学、外语教学技术与评估学科的培养要求，依据材料对申请人的思想品德、学科专业背景、研究能力以及培养潜力等进行评价，根据材料审核评价成绩确定参加综合考核的申请人名单。</w:t>
      </w:r>
    </w:p>
    <w:p w14:paraId="457384FC">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第五章 选拔标准</w:t>
      </w:r>
    </w:p>
    <w:p w14:paraId="251DC242">
      <w:pPr>
        <w:tabs>
          <w:tab w:val="left" w:pos="1804"/>
        </w:tabs>
        <w:spacing w:line="600" w:lineRule="exact"/>
        <w:ind w:firstLine="560" w:firstLineChars="200"/>
        <w:jc w:val="both"/>
        <w:rPr>
          <w:rFonts w:ascii="仿宋_GB2312" w:eastAsia="仿宋_GB2312"/>
          <w:sz w:val="28"/>
          <w:szCs w:val="28"/>
        </w:rPr>
      </w:pPr>
      <w:r>
        <w:rPr>
          <w:rFonts w:hint="eastAsia" w:ascii="仿宋_GB2312" w:eastAsia="仿宋_GB2312"/>
          <w:b/>
          <w:sz w:val="28"/>
          <w:szCs w:val="28"/>
        </w:rPr>
        <w:t xml:space="preserve">第十五条  </w:t>
      </w:r>
      <w:r>
        <w:rPr>
          <w:rFonts w:hint="eastAsia" w:ascii="仿宋_GB2312" w:eastAsia="仿宋_GB2312"/>
          <w:sz w:val="28"/>
          <w:szCs w:val="28"/>
        </w:rPr>
        <w:t>材料评价的成绩（百分制）构成：</w:t>
      </w:r>
    </w:p>
    <w:p w14:paraId="24B9BE77">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1. 往届生：研究计划书：</w:t>
      </w:r>
      <w:r>
        <w:rPr>
          <w:rFonts w:hint="eastAsia" w:ascii="仿宋_GB2312" w:eastAsia="仿宋_GB2312"/>
          <w:sz w:val="28"/>
          <w:szCs w:val="28"/>
          <w:lang w:val="en-US"/>
        </w:rPr>
        <w:t>5</w:t>
      </w:r>
      <w:r>
        <w:rPr>
          <w:rFonts w:hint="eastAsia" w:ascii="仿宋_GB2312" w:eastAsia="仿宋_GB2312"/>
          <w:sz w:val="28"/>
          <w:szCs w:val="28"/>
        </w:rPr>
        <w:t xml:space="preserve">0%；发表论文、论著情况 </w:t>
      </w:r>
      <w:r>
        <w:rPr>
          <w:rFonts w:hint="eastAsia" w:ascii="仿宋_GB2312" w:eastAsia="仿宋_GB2312"/>
          <w:sz w:val="28"/>
          <w:szCs w:val="28"/>
          <w:lang w:val="en-US"/>
        </w:rPr>
        <w:t>20</w:t>
      </w:r>
      <w:r>
        <w:rPr>
          <w:rFonts w:hint="eastAsia" w:ascii="仿宋_GB2312" w:eastAsia="仿宋_GB2312"/>
          <w:sz w:val="28"/>
          <w:szCs w:val="28"/>
        </w:rPr>
        <w:t>%；科研项目及学术获奖：</w:t>
      </w:r>
      <w:r>
        <w:rPr>
          <w:rFonts w:hint="eastAsia" w:ascii="仿宋_GB2312" w:eastAsia="仿宋_GB2312"/>
          <w:sz w:val="28"/>
          <w:szCs w:val="28"/>
          <w:lang w:val="en-US"/>
        </w:rPr>
        <w:t>15</w:t>
      </w:r>
      <w:r>
        <w:rPr>
          <w:rFonts w:hint="eastAsia" w:ascii="仿宋_GB2312" w:eastAsia="仿宋_GB2312"/>
          <w:sz w:val="28"/>
          <w:szCs w:val="28"/>
        </w:rPr>
        <w:t>%；参加学术会议或国（境）外访学进修情况：1</w:t>
      </w:r>
      <w:r>
        <w:rPr>
          <w:rFonts w:hint="eastAsia" w:ascii="仿宋_GB2312" w:eastAsia="仿宋_GB2312"/>
          <w:sz w:val="28"/>
          <w:szCs w:val="28"/>
          <w:lang w:val="en-US"/>
        </w:rPr>
        <w:t>5</w:t>
      </w:r>
      <w:r>
        <w:rPr>
          <w:rFonts w:hint="eastAsia" w:ascii="仿宋_GB2312" w:eastAsia="仿宋_GB2312"/>
          <w:sz w:val="28"/>
          <w:szCs w:val="28"/>
        </w:rPr>
        <w:t>%。</w:t>
      </w:r>
    </w:p>
    <w:p w14:paraId="0FF52B6D">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2. 应届生：研究计划书：</w:t>
      </w:r>
      <w:r>
        <w:rPr>
          <w:rFonts w:hint="eastAsia" w:ascii="仿宋_GB2312" w:eastAsia="仿宋_GB2312"/>
          <w:sz w:val="28"/>
          <w:szCs w:val="28"/>
          <w:lang w:val="en-US"/>
        </w:rPr>
        <w:t>5</w:t>
      </w:r>
      <w:r>
        <w:rPr>
          <w:rFonts w:hint="eastAsia" w:ascii="仿宋_GB2312" w:eastAsia="仿宋_GB2312"/>
          <w:sz w:val="28"/>
          <w:szCs w:val="28"/>
        </w:rPr>
        <w:t>0%；发表论文、论著情况 1</w:t>
      </w:r>
      <w:r>
        <w:rPr>
          <w:rFonts w:hint="eastAsia" w:ascii="仿宋_GB2312" w:eastAsia="仿宋_GB2312"/>
          <w:sz w:val="28"/>
          <w:szCs w:val="28"/>
          <w:lang w:val="en-US"/>
        </w:rPr>
        <w:t>5</w:t>
      </w:r>
      <w:r>
        <w:rPr>
          <w:rFonts w:hint="eastAsia" w:ascii="仿宋_GB2312" w:eastAsia="仿宋_GB2312"/>
          <w:sz w:val="28"/>
          <w:szCs w:val="28"/>
        </w:rPr>
        <w:t>%；参加学术会议或国（境）外访学进修情况：1</w:t>
      </w:r>
      <w:r>
        <w:rPr>
          <w:rFonts w:hint="eastAsia" w:ascii="仿宋_GB2312" w:eastAsia="仿宋_GB2312"/>
          <w:sz w:val="28"/>
          <w:szCs w:val="28"/>
          <w:lang w:val="en-US"/>
        </w:rPr>
        <w:t>5</w:t>
      </w:r>
      <w:r>
        <w:rPr>
          <w:rFonts w:hint="eastAsia" w:ascii="仿宋_GB2312" w:eastAsia="仿宋_GB2312"/>
          <w:sz w:val="28"/>
          <w:szCs w:val="28"/>
        </w:rPr>
        <w:t>%；学术素养和科研潜质：20%。</w:t>
      </w:r>
    </w:p>
    <w:p w14:paraId="16E9376E">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第十六条 </w:t>
      </w:r>
      <w:r>
        <w:rPr>
          <w:rFonts w:hint="eastAsia" w:ascii="仿宋_GB2312" w:eastAsia="仿宋_GB2312"/>
          <w:sz w:val="28"/>
          <w:szCs w:val="28"/>
        </w:rPr>
        <w:t xml:space="preserve">研究计划书须用英语撰写，字数不少于 </w:t>
      </w:r>
      <w:r>
        <w:rPr>
          <w:rFonts w:hint="eastAsia" w:ascii="仿宋_GB2312" w:hAnsi="Times New Roman" w:eastAsia="仿宋_GB2312"/>
          <w:sz w:val="28"/>
          <w:szCs w:val="28"/>
        </w:rPr>
        <w:t xml:space="preserve">5000 </w:t>
      </w:r>
      <w:r>
        <w:rPr>
          <w:rFonts w:hint="eastAsia" w:ascii="仿宋_GB2312" w:eastAsia="仿宋_GB2312"/>
          <w:sz w:val="28"/>
          <w:szCs w:val="28"/>
        </w:rPr>
        <w:t>词，评分标准根据研究计划书所陈述的选题依据、学术价值、研究问题、研究方法、文献综述等以及计划书所体现申请人的研究分析能力、研究知识的广度和深度、语言表达能力等评定，分为优秀</w:t>
      </w:r>
      <w:r>
        <w:rPr>
          <w:rFonts w:hint="eastAsia" w:ascii="仿宋_GB2312" w:hAnsi="Times New Roman" w:eastAsia="仿宋_GB2312"/>
          <w:sz w:val="28"/>
          <w:szCs w:val="28"/>
        </w:rPr>
        <w:t>(≥90</w:t>
      </w:r>
      <w:r>
        <w:rPr>
          <w:rFonts w:hint="eastAsia" w:ascii="仿宋_GB2312" w:eastAsia="仿宋_GB2312"/>
          <w:sz w:val="28"/>
          <w:szCs w:val="28"/>
        </w:rPr>
        <w:t>分）、良好（</w:t>
      </w:r>
      <w:bookmarkStart w:id="1" w:name="_Hlk116138206"/>
      <w:r>
        <w:rPr>
          <w:rFonts w:hint="eastAsia" w:ascii="仿宋_GB2312" w:hAnsi="Times New Roman" w:eastAsia="仿宋_GB2312"/>
          <w:sz w:val="28"/>
          <w:szCs w:val="28"/>
        </w:rPr>
        <w:t xml:space="preserve">75~89 </w:t>
      </w:r>
      <w:r>
        <w:rPr>
          <w:rFonts w:hint="eastAsia" w:ascii="仿宋_GB2312" w:eastAsia="仿宋_GB2312"/>
          <w:sz w:val="28"/>
          <w:szCs w:val="28"/>
        </w:rPr>
        <w:t>分</w:t>
      </w:r>
      <w:bookmarkEnd w:id="1"/>
      <w:r>
        <w:rPr>
          <w:rFonts w:hint="eastAsia" w:ascii="仿宋_GB2312" w:eastAsia="仿宋_GB2312"/>
          <w:sz w:val="28"/>
          <w:szCs w:val="28"/>
        </w:rPr>
        <w:t>）、合格（</w:t>
      </w:r>
      <w:r>
        <w:rPr>
          <w:rFonts w:hint="eastAsia" w:ascii="仿宋_GB2312" w:hAnsi="Times New Roman" w:eastAsia="仿宋_GB2312"/>
          <w:sz w:val="28"/>
          <w:szCs w:val="28"/>
        </w:rPr>
        <w:t xml:space="preserve">60~74 </w:t>
      </w:r>
      <w:r>
        <w:rPr>
          <w:rFonts w:hint="eastAsia" w:ascii="仿宋_GB2312" w:eastAsia="仿宋_GB2312"/>
          <w:sz w:val="28"/>
          <w:szCs w:val="28"/>
        </w:rPr>
        <w:t>分）、不合格（</w:t>
      </w:r>
      <w:r>
        <w:rPr>
          <w:rFonts w:hint="eastAsia" w:ascii="仿宋_GB2312" w:hAnsi="Times New Roman" w:eastAsia="仿宋_GB2312"/>
          <w:sz w:val="28"/>
          <w:szCs w:val="28"/>
        </w:rPr>
        <w:t xml:space="preserve">≤59 </w:t>
      </w:r>
      <w:r>
        <w:rPr>
          <w:rFonts w:hint="eastAsia" w:ascii="仿宋_GB2312" w:eastAsia="仿宋_GB2312"/>
          <w:sz w:val="28"/>
          <w:szCs w:val="28"/>
        </w:rPr>
        <w:t xml:space="preserve">分）四个等级。研究计划书由至少 </w:t>
      </w:r>
      <w:r>
        <w:rPr>
          <w:rFonts w:hint="eastAsia" w:ascii="仿宋_GB2312" w:hAnsi="Times New Roman" w:eastAsia="仿宋_GB2312"/>
          <w:sz w:val="28"/>
          <w:szCs w:val="28"/>
        </w:rPr>
        <w:t xml:space="preserve">3 </w:t>
      </w:r>
      <w:r>
        <w:rPr>
          <w:rFonts w:hint="eastAsia" w:ascii="仿宋_GB2312" w:eastAsia="仿宋_GB2312"/>
          <w:sz w:val="28"/>
          <w:szCs w:val="28"/>
        </w:rPr>
        <w:t>名专家（含导师）评定，取平均分。</w:t>
      </w:r>
    </w:p>
    <w:p w14:paraId="78975CF7">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第十七条 </w:t>
      </w:r>
      <w:r>
        <w:rPr>
          <w:rFonts w:hint="eastAsia" w:ascii="仿宋_GB2312" w:eastAsia="仿宋_GB2312"/>
          <w:sz w:val="28"/>
          <w:szCs w:val="28"/>
        </w:rPr>
        <w:t>发表论文、出版学术著作按论文、学术著作质量评定为优秀</w:t>
      </w:r>
      <w:r>
        <w:rPr>
          <w:rFonts w:hint="eastAsia" w:ascii="仿宋_GB2312" w:hAnsi="Times New Roman" w:eastAsia="仿宋_GB2312"/>
          <w:sz w:val="28"/>
          <w:szCs w:val="28"/>
        </w:rPr>
        <w:t>(≥</w:t>
      </w:r>
      <w:r>
        <w:rPr>
          <w:rFonts w:ascii="仿宋_GB2312" w:hAnsi="Times New Roman" w:eastAsia="仿宋_GB2312"/>
          <w:sz w:val="28"/>
          <w:szCs w:val="28"/>
        </w:rPr>
        <w:t>9</w:t>
      </w:r>
      <w:r>
        <w:rPr>
          <w:rFonts w:hint="eastAsia" w:ascii="仿宋_GB2312" w:hAnsi="Times New Roman" w:eastAsia="仿宋_GB2312"/>
          <w:sz w:val="28"/>
          <w:szCs w:val="28"/>
        </w:rPr>
        <w:t>0</w:t>
      </w:r>
      <w:r>
        <w:rPr>
          <w:rFonts w:hint="eastAsia" w:ascii="仿宋_GB2312" w:eastAsia="仿宋_GB2312"/>
          <w:sz w:val="28"/>
          <w:szCs w:val="28"/>
        </w:rPr>
        <w:t>分）、良好（</w:t>
      </w:r>
      <w:r>
        <w:rPr>
          <w:rFonts w:ascii="仿宋_GB2312" w:eastAsia="仿宋_GB2312"/>
          <w:sz w:val="28"/>
          <w:szCs w:val="28"/>
        </w:rPr>
        <w:t>75~89 分</w:t>
      </w:r>
      <w:r>
        <w:rPr>
          <w:rFonts w:hint="eastAsia" w:ascii="仿宋_GB2312" w:eastAsia="仿宋_GB2312"/>
          <w:sz w:val="28"/>
          <w:szCs w:val="28"/>
        </w:rPr>
        <w:t>）、合格（</w:t>
      </w:r>
      <w:r>
        <w:rPr>
          <w:rFonts w:hint="eastAsia" w:ascii="仿宋_GB2312" w:hAnsi="Times New Roman" w:eastAsia="仿宋_GB2312"/>
          <w:sz w:val="28"/>
          <w:szCs w:val="28"/>
        </w:rPr>
        <w:t>60~7</w:t>
      </w:r>
      <w:r>
        <w:rPr>
          <w:rFonts w:ascii="仿宋_GB2312" w:hAnsi="Times New Roman" w:eastAsia="仿宋_GB2312"/>
          <w:sz w:val="28"/>
          <w:szCs w:val="28"/>
        </w:rPr>
        <w:t>4</w:t>
      </w:r>
      <w:r>
        <w:rPr>
          <w:rFonts w:hint="eastAsia" w:ascii="仿宋_GB2312" w:eastAsia="仿宋_GB2312"/>
          <w:sz w:val="28"/>
          <w:szCs w:val="28"/>
        </w:rPr>
        <w:t>分）和未发表（</w:t>
      </w:r>
      <w:r>
        <w:rPr>
          <w:rFonts w:ascii="仿宋_GB2312" w:eastAsia="仿宋_GB2312"/>
          <w:sz w:val="28"/>
          <w:szCs w:val="28"/>
        </w:rPr>
        <w:t>0</w:t>
      </w:r>
      <w:r>
        <w:rPr>
          <w:rFonts w:hint="eastAsia" w:ascii="仿宋_GB2312" w:eastAsia="仿宋_GB2312"/>
          <w:sz w:val="28"/>
          <w:szCs w:val="28"/>
        </w:rPr>
        <w:t>分）四个等级。在二类以上刊物发表论文1篇以上的可评定为优秀，在三类刊物发表论文1篇以上的可评定为良好，其他类型发表论文的可评定为合格。论文发表需申请人为独立作者、第一作者、第二作者（导师须为第一作者）或通讯作者（限外文论文）。在一类出版社出版学术著作1部以上可评定为优秀，在二类出版社出版学术著作1部以上可评定为良好，其他类型的出版可评定为合格。论文和学术著作定级参照《广东外语外贸大学科研奖励办法》。论文或学术著作达到</w:t>
      </w:r>
      <w:bookmarkStart w:id="2" w:name="_Hlk116139367"/>
      <w:r>
        <w:rPr>
          <w:rFonts w:hint="eastAsia" w:ascii="仿宋_GB2312" w:eastAsia="仿宋_GB2312"/>
          <w:sz w:val="28"/>
          <w:szCs w:val="28"/>
        </w:rPr>
        <w:t>以上任意一项即可认定相应等级。</w:t>
      </w:r>
      <w:bookmarkEnd w:id="2"/>
    </w:p>
    <w:p w14:paraId="464CF19C">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第十八条  </w:t>
      </w:r>
      <w:r>
        <w:rPr>
          <w:rFonts w:hint="eastAsia" w:ascii="仿宋_GB2312" w:eastAsia="仿宋_GB2312"/>
          <w:sz w:val="28"/>
          <w:szCs w:val="28"/>
        </w:rPr>
        <w:t>科研项目或学术获奖评分标准参照评定为优秀</w:t>
      </w:r>
      <w:r>
        <w:rPr>
          <w:rFonts w:hint="eastAsia" w:ascii="仿宋_GB2312" w:hAnsi="Times New Roman" w:eastAsia="仿宋_GB2312"/>
          <w:sz w:val="28"/>
          <w:szCs w:val="28"/>
        </w:rPr>
        <w:t xml:space="preserve">(≥90 </w:t>
      </w:r>
      <w:r>
        <w:rPr>
          <w:rFonts w:hint="eastAsia" w:ascii="仿宋_GB2312" w:eastAsia="仿宋_GB2312"/>
          <w:sz w:val="28"/>
          <w:szCs w:val="28"/>
        </w:rPr>
        <w:t>分）、良好（</w:t>
      </w:r>
      <w:r>
        <w:rPr>
          <w:rFonts w:hint="eastAsia" w:ascii="仿宋_GB2312" w:hAnsi="Times New Roman" w:eastAsia="仿宋_GB2312"/>
          <w:sz w:val="28"/>
          <w:szCs w:val="28"/>
        </w:rPr>
        <w:t xml:space="preserve">75~89 </w:t>
      </w:r>
      <w:r>
        <w:rPr>
          <w:rFonts w:hint="eastAsia" w:ascii="仿宋_GB2312" w:eastAsia="仿宋_GB2312"/>
          <w:sz w:val="28"/>
          <w:szCs w:val="28"/>
        </w:rPr>
        <w:t>分）、合格（</w:t>
      </w:r>
      <w:r>
        <w:rPr>
          <w:rFonts w:hint="eastAsia" w:ascii="仿宋_GB2312" w:hAnsi="Times New Roman" w:eastAsia="仿宋_GB2312"/>
          <w:sz w:val="28"/>
          <w:szCs w:val="28"/>
        </w:rPr>
        <w:t xml:space="preserve">60~74 </w:t>
      </w:r>
      <w:r>
        <w:rPr>
          <w:rFonts w:hint="eastAsia" w:ascii="仿宋_GB2312" w:eastAsia="仿宋_GB2312"/>
          <w:sz w:val="28"/>
          <w:szCs w:val="28"/>
        </w:rPr>
        <w:t>分）、未有（0分）四个级别，按相应比例折算分值。其中，科研项目以主持人或主要参与者（限前三） 身份参与的国家社科、教育部项目为优秀级别；以主持人或参与者（限前三）身份参与的省、厅、市级项目为良好；其余主持或参与的项目为合格；未有计为0。关于学术获奖，须与研究方向密切相关，国家级或部级奖项（须排名前三）为优秀；省、厅、市及奖项为良好；其余奖项为合格；未有计为0。</w:t>
      </w:r>
      <w:bookmarkStart w:id="3" w:name="_Hlk116139805"/>
      <w:r>
        <w:rPr>
          <w:rFonts w:hint="eastAsia" w:ascii="仿宋_GB2312" w:eastAsia="仿宋_GB2312"/>
          <w:sz w:val="28"/>
          <w:szCs w:val="28"/>
        </w:rPr>
        <w:t>科研项目或学术获奖达到以上任意一项即可认定相应等级。</w:t>
      </w:r>
    </w:p>
    <w:bookmarkEnd w:id="3"/>
    <w:p w14:paraId="4E457A62">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第十九条 </w:t>
      </w:r>
      <w:bookmarkStart w:id="4" w:name="_Hlk116139823"/>
      <w:r>
        <w:rPr>
          <w:rFonts w:hint="eastAsia" w:ascii="仿宋_GB2312" w:eastAsia="仿宋_GB2312"/>
          <w:sz w:val="28"/>
          <w:szCs w:val="28"/>
        </w:rPr>
        <w:t>参加学术会议或国</w:t>
      </w:r>
      <w:bookmarkStart w:id="5" w:name="_Hlk116139780"/>
      <w:r>
        <w:rPr>
          <w:rFonts w:hint="eastAsia" w:ascii="仿宋_GB2312" w:eastAsia="仿宋_GB2312"/>
          <w:sz w:val="28"/>
          <w:szCs w:val="28"/>
        </w:rPr>
        <w:t>（境）</w:t>
      </w:r>
      <w:bookmarkEnd w:id="5"/>
      <w:r>
        <w:rPr>
          <w:rFonts w:hint="eastAsia" w:ascii="仿宋_GB2312" w:eastAsia="仿宋_GB2312"/>
          <w:sz w:val="28"/>
          <w:szCs w:val="28"/>
        </w:rPr>
        <w:t>外访学</w:t>
      </w:r>
      <w:bookmarkEnd w:id="4"/>
      <w:r>
        <w:rPr>
          <w:rFonts w:hint="eastAsia" w:ascii="仿宋_GB2312" w:eastAsia="仿宋_GB2312"/>
          <w:sz w:val="28"/>
          <w:szCs w:val="28"/>
        </w:rPr>
        <w:t>评定为优秀</w:t>
      </w:r>
      <w:r>
        <w:rPr>
          <w:rFonts w:hint="eastAsia" w:ascii="仿宋_GB2312" w:hAnsi="Times New Roman" w:eastAsia="仿宋_GB2312"/>
          <w:sz w:val="28"/>
          <w:szCs w:val="28"/>
        </w:rPr>
        <w:t>(≥90</w:t>
      </w:r>
      <w:r>
        <w:rPr>
          <w:rFonts w:hint="eastAsia" w:ascii="仿宋_GB2312" w:eastAsia="仿宋_GB2312"/>
          <w:sz w:val="28"/>
          <w:szCs w:val="28"/>
        </w:rPr>
        <w:t>分）、良好（</w:t>
      </w:r>
      <w:r>
        <w:rPr>
          <w:rFonts w:hint="eastAsia" w:ascii="仿宋_GB2312" w:hAnsi="Times New Roman" w:eastAsia="仿宋_GB2312"/>
          <w:sz w:val="28"/>
          <w:szCs w:val="28"/>
        </w:rPr>
        <w:t xml:space="preserve">75~89 </w:t>
      </w:r>
      <w:r>
        <w:rPr>
          <w:rFonts w:hint="eastAsia" w:ascii="仿宋_GB2312" w:eastAsia="仿宋_GB2312"/>
          <w:sz w:val="28"/>
          <w:szCs w:val="28"/>
        </w:rPr>
        <w:t>分）、合格（</w:t>
      </w:r>
      <w:r>
        <w:rPr>
          <w:rFonts w:hint="eastAsia" w:ascii="仿宋_GB2312" w:hAnsi="Times New Roman" w:eastAsia="仿宋_GB2312"/>
          <w:sz w:val="28"/>
          <w:szCs w:val="28"/>
        </w:rPr>
        <w:t xml:space="preserve">60~74 </w:t>
      </w:r>
      <w:r>
        <w:rPr>
          <w:rFonts w:hint="eastAsia" w:ascii="仿宋_GB2312" w:eastAsia="仿宋_GB2312"/>
          <w:sz w:val="28"/>
          <w:szCs w:val="28"/>
        </w:rPr>
        <w:t>分）、未有（0分）四个等级。以第一作者</w:t>
      </w:r>
      <w:bookmarkStart w:id="6" w:name="_Hlk116139566"/>
      <w:r>
        <w:rPr>
          <w:rFonts w:hint="eastAsia" w:ascii="仿宋_GB2312" w:eastAsia="仿宋_GB2312"/>
          <w:sz w:val="28"/>
          <w:szCs w:val="28"/>
        </w:rPr>
        <w:t>身份参加学术会议并发言（需要提供发言证明或会议议程）1次以上为优秀</w:t>
      </w:r>
      <w:bookmarkEnd w:id="6"/>
      <w:r>
        <w:rPr>
          <w:rFonts w:hint="eastAsia" w:ascii="仿宋_GB2312" w:eastAsia="仿宋_GB2312"/>
          <w:sz w:val="28"/>
          <w:szCs w:val="28"/>
        </w:rPr>
        <w:t>；以非第一作者身份参加学术会议并发言（需要提供发言证明或会议议程）1次以上为良好，以其他形式参加学术会议为合格。在国（境）外访学（须有证明）一学年及以上为优秀；在国（境）外访学3个月及以上为良好；其余形式国（境）外访学为合格。参加学术会议或国（境）外访学达到以上任意一项即可认定相应等级。</w:t>
      </w:r>
    </w:p>
    <w:p w14:paraId="69AF680C">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第二十条 </w:t>
      </w:r>
      <w:r>
        <w:rPr>
          <w:rFonts w:hint="eastAsia" w:ascii="仿宋_GB2312" w:eastAsia="仿宋_GB2312"/>
          <w:sz w:val="28"/>
          <w:szCs w:val="28"/>
        </w:rPr>
        <w:t>应届生学术素养和科研潜质根据其提交的学位论文、发表成果、学期论文等评定为优秀</w:t>
      </w:r>
      <w:r>
        <w:rPr>
          <w:rFonts w:hint="eastAsia" w:ascii="仿宋_GB2312" w:hAnsi="Times New Roman" w:eastAsia="仿宋_GB2312"/>
          <w:sz w:val="28"/>
          <w:szCs w:val="28"/>
        </w:rPr>
        <w:t>(≥90</w:t>
      </w:r>
      <w:r>
        <w:rPr>
          <w:rFonts w:hint="eastAsia" w:ascii="仿宋_GB2312" w:eastAsia="仿宋_GB2312"/>
          <w:sz w:val="28"/>
          <w:szCs w:val="28"/>
        </w:rPr>
        <w:t>分）、良好（</w:t>
      </w:r>
      <w:r>
        <w:rPr>
          <w:rFonts w:hint="eastAsia" w:ascii="仿宋_GB2312" w:hAnsi="Times New Roman" w:eastAsia="仿宋_GB2312"/>
          <w:sz w:val="28"/>
          <w:szCs w:val="28"/>
        </w:rPr>
        <w:t>75~89</w:t>
      </w:r>
      <w:r>
        <w:rPr>
          <w:rFonts w:hint="eastAsia" w:ascii="仿宋_GB2312" w:eastAsia="仿宋_GB2312"/>
          <w:sz w:val="28"/>
          <w:szCs w:val="28"/>
        </w:rPr>
        <w:t>分）、合格（</w:t>
      </w:r>
      <w:r>
        <w:rPr>
          <w:rFonts w:hint="eastAsia" w:ascii="仿宋_GB2312" w:hAnsi="Times New Roman" w:eastAsia="仿宋_GB2312"/>
          <w:sz w:val="28"/>
          <w:szCs w:val="28"/>
        </w:rPr>
        <w:t>60~74</w:t>
      </w:r>
      <w:r>
        <w:rPr>
          <w:rFonts w:hint="eastAsia" w:ascii="仿宋_GB2312" w:eastAsia="仿宋_GB2312"/>
          <w:sz w:val="28"/>
          <w:szCs w:val="28"/>
        </w:rPr>
        <w:t>分）、不合格（≤59分）四个级别。由至少3名专家（含导师）评定，取平均分。</w:t>
      </w:r>
    </w:p>
    <w:p w14:paraId="3FCC67E9">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第六章 综合考核</w:t>
      </w:r>
    </w:p>
    <w:p w14:paraId="4BB19E08">
      <w:pPr>
        <w:pStyle w:val="5"/>
        <w:tabs>
          <w:tab w:val="left" w:pos="2171"/>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 xml:space="preserve">第二十一条 </w:t>
      </w:r>
      <w:r>
        <w:rPr>
          <w:rFonts w:hint="eastAsia" w:ascii="仿宋_GB2312" w:eastAsia="仿宋_GB2312"/>
          <w:sz w:val="28"/>
          <w:szCs w:val="28"/>
        </w:rPr>
        <w:t>在申请材料评价考核基础上，确定参加</w:t>
      </w:r>
      <w:r>
        <w:rPr>
          <w:rFonts w:hint="eastAsia" w:ascii="仿宋_GB2312" w:eastAsia="仿宋_GB2312"/>
          <w:sz w:val="28"/>
          <w:szCs w:val="28"/>
          <w:lang w:val="en-US"/>
        </w:rPr>
        <w:t>综合</w:t>
      </w:r>
      <w:r>
        <w:rPr>
          <w:rFonts w:hint="eastAsia" w:ascii="仿宋_GB2312" w:eastAsia="仿宋_GB2312"/>
          <w:sz w:val="28"/>
          <w:szCs w:val="28"/>
        </w:rPr>
        <w:t>考核的申请人名单。</w:t>
      </w:r>
    </w:p>
    <w:p w14:paraId="488FE510">
      <w:pPr>
        <w:pStyle w:val="5"/>
        <w:tabs>
          <w:tab w:val="left" w:pos="2171"/>
        </w:tabs>
        <w:spacing w:before="0" w:line="600" w:lineRule="exact"/>
        <w:ind w:left="0" w:firstLine="560" w:firstLineChars="200"/>
        <w:jc w:val="both"/>
        <w:rPr>
          <w:rFonts w:ascii="仿宋_GB2312" w:eastAsia="仿宋_GB2312"/>
          <w:sz w:val="28"/>
          <w:szCs w:val="28"/>
          <w:lang w:val="en-US"/>
        </w:rPr>
      </w:pPr>
      <w:r>
        <w:rPr>
          <w:rFonts w:hint="eastAsia" w:ascii="仿宋_GB2312" w:eastAsia="仿宋_GB2312"/>
          <w:b/>
          <w:sz w:val="28"/>
          <w:szCs w:val="28"/>
        </w:rPr>
        <w:t>第二十二条</w:t>
      </w:r>
      <w:r>
        <w:rPr>
          <w:rFonts w:hint="eastAsia" w:ascii="仿宋_GB2312" w:eastAsia="仿宋_GB2312"/>
          <w:sz w:val="28"/>
          <w:szCs w:val="28"/>
        </w:rPr>
        <w:t xml:space="preserve"> </w:t>
      </w:r>
      <w:r>
        <w:rPr>
          <w:rFonts w:hint="eastAsia" w:ascii="仿宋_GB2312" w:eastAsia="仿宋_GB2312"/>
          <w:sz w:val="28"/>
          <w:szCs w:val="28"/>
          <w:lang w:val="en-US"/>
        </w:rPr>
        <w:t>综合</w:t>
      </w:r>
      <w:r>
        <w:rPr>
          <w:rFonts w:hint="eastAsia" w:ascii="仿宋_GB2312" w:eastAsia="仿宋_GB2312"/>
          <w:sz w:val="28"/>
          <w:szCs w:val="28"/>
        </w:rPr>
        <w:t>考核</w:t>
      </w:r>
      <w:r>
        <w:rPr>
          <w:rFonts w:hint="eastAsia" w:ascii="仿宋_GB2312" w:eastAsia="仿宋_GB2312"/>
          <w:sz w:val="28"/>
          <w:szCs w:val="28"/>
          <w:lang w:val="en-US"/>
        </w:rPr>
        <w:t>以面试的形式进行，</w:t>
      </w:r>
      <w:r>
        <w:rPr>
          <w:rFonts w:hint="eastAsia" w:ascii="仿宋_GB2312" w:eastAsia="仿宋_GB2312"/>
          <w:sz w:val="28"/>
          <w:szCs w:val="28"/>
        </w:rPr>
        <w:t>由综合考核专家组对考生外语水平、专业基础、科研能力（如语言表达能力、逻辑思维能力、科研水平、创新能力和学术素养等）、思想政治素质和品德等方面进行全面考核，分为优秀(≥90 分）、良好（75~89 分）、合格（60~74 分）、不合格（≤59 分）四个级别。由不少于 5 人的综合考核专家组（含导师）评定，取平均分。</w:t>
      </w:r>
      <w:r>
        <w:rPr>
          <w:rFonts w:hint="eastAsia" w:ascii="仿宋_GB2312" w:eastAsia="仿宋_GB2312"/>
          <w:sz w:val="28"/>
          <w:szCs w:val="28"/>
          <w:lang w:val="en-US"/>
        </w:rPr>
        <w:t>同等学力考生加试笔试。</w:t>
      </w:r>
    </w:p>
    <w:p w14:paraId="7C910970">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第七章 录取办法</w:t>
      </w:r>
    </w:p>
    <w:p w14:paraId="3B49629A">
      <w:pPr>
        <w:pStyle w:val="5"/>
        <w:tabs>
          <w:tab w:val="left" w:pos="1934"/>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第二十三条</w:t>
      </w:r>
      <w:r>
        <w:rPr>
          <w:rFonts w:ascii="仿宋_GB2312" w:eastAsia="仿宋_GB2312"/>
          <w:b/>
          <w:sz w:val="28"/>
          <w:szCs w:val="28"/>
        </w:rPr>
        <w:t xml:space="preserve"> </w:t>
      </w:r>
      <w:r>
        <w:rPr>
          <w:rFonts w:hint="eastAsia" w:ascii="仿宋_GB2312" w:eastAsia="仿宋_GB2312"/>
          <w:sz w:val="28"/>
          <w:szCs w:val="28"/>
        </w:rPr>
        <w:t>综合考核成绩最终归并为外国语、专业基础、综合测评三门科目，每门科目的满分为100分。外国语成绩仅做合格要求、不计入总成绩，按照专业基础加综合测评的成绩由高到低的顺序依次录取。同等学力考生在综合考核阶段须加试</w:t>
      </w:r>
      <w:r>
        <w:rPr>
          <w:rFonts w:hint="eastAsia" w:ascii="仿宋_GB2312" w:eastAsia="仿宋_GB2312"/>
          <w:sz w:val="28"/>
          <w:szCs w:val="28"/>
          <w:lang w:eastAsia="zh"/>
          <w:woUserID w:val="1"/>
        </w:rPr>
        <w:t>思想政治理论和</w:t>
      </w:r>
      <w:bookmarkStart w:id="7" w:name="_GoBack"/>
      <w:bookmarkEnd w:id="7"/>
      <w:r>
        <w:rPr>
          <w:rFonts w:hint="eastAsia" w:ascii="仿宋_GB2312" w:eastAsia="仿宋_GB2312"/>
          <w:sz w:val="28"/>
          <w:szCs w:val="28"/>
        </w:rPr>
        <w:t>两门本专业硕士学位主干课程，加试方式为笔试。时间为每科3小时，各科满分为100分。加试成绩不计入总成绩，但低于60分者不予录取。</w:t>
      </w:r>
    </w:p>
    <w:p w14:paraId="2E2E418F">
      <w:pPr>
        <w:pStyle w:val="5"/>
        <w:tabs>
          <w:tab w:val="left" w:pos="1934"/>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第二十四条</w:t>
      </w:r>
      <w:r>
        <w:rPr>
          <w:rFonts w:ascii="仿宋_GB2312" w:eastAsia="仿宋_GB2312"/>
          <w:b/>
          <w:sz w:val="28"/>
          <w:szCs w:val="28"/>
        </w:rPr>
        <w:t xml:space="preserve"> </w:t>
      </w:r>
      <w:r>
        <w:rPr>
          <w:rFonts w:hint="eastAsia" w:ascii="仿宋_GB2312" w:eastAsia="仿宋_GB2312"/>
          <w:sz w:val="28"/>
          <w:szCs w:val="28"/>
        </w:rPr>
        <w:t>按成绩高低排名，结合当年学科招生计划依序录取。录取时</w:t>
      </w:r>
      <w:r>
        <w:rPr>
          <w:rFonts w:hint="eastAsia" w:ascii="仿宋_GB2312" w:eastAsia="仿宋_GB2312"/>
          <w:sz w:val="28"/>
          <w:szCs w:val="28"/>
          <w:lang w:val="en-US"/>
        </w:rPr>
        <w:t>按照专业录取，即在同一专业内按照总分（不含外国语成绩）由高到低的顺序录取。</w:t>
      </w:r>
      <w:r>
        <w:rPr>
          <w:rFonts w:hint="eastAsia" w:ascii="仿宋_GB2312" w:eastAsia="仿宋_GB2312"/>
          <w:sz w:val="28"/>
          <w:szCs w:val="28"/>
        </w:rPr>
        <w:t>综合考核单科(外国语、专业基础、综合测评三科之一)成绩低于 60 分的不予录取。思想政治素质和品德考核不合格者不予录取。拟录取名单须经学院研究生招生工作领导小组审核通过后报送研究生院。研究生院汇总拟录取名单，报学校研究生招生工作领导小组审批并公示。</w:t>
      </w:r>
    </w:p>
    <w:p w14:paraId="238B3621">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第八章 监督机制</w:t>
      </w:r>
    </w:p>
    <w:p w14:paraId="7CEAD4C0">
      <w:pPr>
        <w:pStyle w:val="5"/>
        <w:tabs>
          <w:tab w:val="left" w:pos="1934"/>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第二十五条</w:t>
      </w:r>
      <w:r>
        <w:rPr>
          <w:rFonts w:hint="eastAsia" w:ascii="仿宋_GB2312" w:eastAsia="仿宋_GB2312"/>
          <w:sz w:val="28"/>
          <w:szCs w:val="28"/>
        </w:rPr>
        <w:t xml:space="preserve"> 学院在学校研究生招生监督小组的领导下开展工作。学院招生工作领导小组对材料审核小组和综合考核专家组成员的职业道德规范进行监督。</w:t>
      </w:r>
    </w:p>
    <w:p w14:paraId="3771E4E2">
      <w:pPr>
        <w:pStyle w:val="5"/>
        <w:tabs>
          <w:tab w:val="left" w:pos="1934"/>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第二十六条</w:t>
      </w:r>
      <w:r>
        <w:rPr>
          <w:rFonts w:hint="eastAsia" w:ascii="仿宋_GB2312" w:eastAsia="仿宋_GB2312"/>
          <w:sz w:val="28"/>
          <w:szCs w:val="28"/>
        </w:rPr>
        <w:t xml:space="preserve"> 考生如果对各考核环节有疑问，可首先向学院研究生工作办公室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做出裁决。</w:t>
      </w:r>
    </w:p>
    <w:p w14:paraId="27531CA6">
      <w:pPr>
        <w:pStyle w:val="5"/>
        <w:tabs>
          <w:tab w:val="left" w:pos="1934"/>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第二十七条</w:t>
      </w:r>
      <w:r>
        <w:rPr>
          <w:rFonts w:hint="eastAsia" w:ascii="仿宋_GB2312" w:eastAsia="仿宋_GB2312"/>
          <w:sz w:val="28"/>
          <w:szCs w:val="28"/>
        </w:rPr>
        <w:t xml:space="preserve"> 经学校查实的招生违规行为，将予以严肃处理。属于考生的问题(如提供虚假材料等),将取消其录取资格或学籍，5年内不接受其再申请；属于导师的问题，将视情节给予暂停或取消招生资格；属于招生单位的问题，将视情节轻重，削减该单位的博士招生指标。其中若有违反刑法修正案(九)、《国家教育考试违规处理办法》及其他相关法律法规的，按有关规定处理。</w:t>
      </w:r>
    </w:p>
    <w:p w14:paraId="23757662">
      <w:pPr>
        <w:pStyle w:val="5"/>
        <w:tabs>
          <w:tab w:val="left" w:pos="1934"/>
        </w:tabs>
        <w:spacing w:before="0" w:line="600" w:lineRule="exact"/>
        <w:ind w:left="0" w:firstLine="640" w:firstLineChars="200"/>
        <w:jc w:val="center"/>
        <w:rPr>
          <w:rFonts w:ascii="黑体" w:hAnsi="黑体" w:eastAsia="黑体"/>
          <w:b/>
          <w:sz w:val="32"/>
          <w:szCs w:val="32"/>
        </w:rPr>
      </w:pPr>
      <w:r>
        <w:rPr>
          <w:rFonts w:hint="eastAsia" w:ascii="黑体" w:hAnsi="黑体" w:eastAsia="黑体"/>
          <w:sz w:val="32"/>
          <w:szCs w:val="32"/>
        </w:rPr>
        <w:t>第九章 其他</w:t>
      </w:r>
    </w:p>
    <w:p w14:paraId="0AAD613A">
      <w:pPr>
        <w:pStyle w:val="5"/>
        <w:tabs>
          <w:tab w:val="left" w:pos="2171"/>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第二十八条</w:t>
      </w:r>
      <w:r>
        <w:rPr>
          <w:rFonts w:hint="eastAsia" w:ascii="仿宋_GB2312" w:eastAsia="仿宋_GB2312"/>
          <w:sz w:val="28"/>
          <w:szCs w:val="28"/>
        </w:rPr>
        <w:t xml:space="preserve"> “申请-考核”制博士研究生的学习年限、奖助学金、培养方式按照我校当年招生简章统一执行。 </w:t>
      </w:r>
    </w:p>
    <w:p w14:paraId="5A4512D8">
      <w:pPr>
        <w:pStyle w:val="5"/>
        <w:tabs>
          <w:tab w:val="left" w:pos="2171"/>
        </w:tabs>
        <w:spacing w:before="0" w:line="600" w:lineRule="exact"/>
        <w:ind w:left="0" w:firstLine="560" w:firstLineChars="200"/>
        <w:jc w:val="both"/>
        <w:rPr>
          <w:rFonts w:ascii="仿宋_GB2312" w:eastAsia="仿宋_GB2312"/>
          <w:sz w:val="28"/>
          <w:szCs w:val="28"/>
        </w:rPr>
      </w:pPr>
      <w:r>
        <w:rPr>
          <w:rFonts w:hint="eastAsia" w:ascii="仿宋_GB2312" w:eastAsia="仿宋_GB2312"/>
          <w:b/>
          <w:sz w:val="28"/>
          <w:szCs w:val="28"/>
        </w:rPr>
        <w:t>第二十九条</w:t>
      </w:r>
      <w:r>
        <w:rPr>
          <w:rFonts w:hint="eastAsia" w:ascii="仿宋_GB2312" w:eastAsia="仿宋_GB2312"/>
          <w:sz w:val="28"/>
          <w:szCs w:val="28"/>
        </w:rPr>
        <w:t xml:space="preserve"> 本工作细则适用于202</w:t>
      </w:r>
      <w:r>
        <w:rPr>
          <w:rFonts w:hint="eastAsia" w:ascii="仿宋_GB2312" w:eastAsia="仿宋_GB2312"/>
          <w:sz w:val="28"/>
          <w:szCs w:val="28"/>
          <w:lang w:val="en-US"/>
        </w:rPr>
        <w:t>5</w:t>
      </w:r>
      <w:r>
        <w:rPr>
          <w:rFonts w:hint="eastAsia" w:ascii="仿宋_GB2312" w:eastAsia="仿宋_GB2312"/>
          <w:sz w:val="28"/>
          <w:szCs w:val="28"/>
        </w:rPr>
        <w:t>级及以后的博士研究生招生工作，并由学院研究生招生工作领导小组负责解释。</w:t>
      </w:r>
    </w:p>
    <w:sectPr>
      <w:footerReference r:id="rId3" w:type="default"/>
      <w:pgSz w:w="11910" w:h="16840"/>
      <w:pgMar w:top="1460" w:right="1440" w:bottom="1160" w:left="168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华文宋体">
    <w:panose1 w:val="02010600040101010101"/>
    <w:charset w:val="86"/>
    <w:family w:val="auto"/>
    <w:pitch w:val="default"/>
    <w:sig w:usb0="00000287" w:usb1="080F0000" w:usb2="00000000" w:usb3="00000000" w:csb0="0004009F" w:csb1="DFD70000"/>
  </w:font>
  <w:font w:name="仿宋_GB2312">
    <w:altName w:val="Arial"/>
    <w:panose1 w:val="00000000000000000000"/>
    <w:charset w:val="00"/>
    <w:family w:val="auto"/>
    <w:pitch w:val="default"/>
    <w:sig w:usb0="00000000" w:usb1="00000000" w:usb2="00000000" w:usb3="00000000" w:csb0="00000000" w:csb1="00000000"/>
  </w:font>
  <w:font w:name="方正仿宋_GBK">
    <w:altName w:val="Arial"/>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80B3C">
    <w:pPr>
      <w:pStyle w:val="5"/>
      <w:spacing w:before="0" w:line="14" w:lineRule="auto"/>
      <w:ind w:left="0" w:firstLine="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9935845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4A2CDAFD">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35pt;height:11pt;width:8.6pt;mso-position-horizontal-relative:page;mso-position-vertical-relative:page;z-index:-251657216;mso-width-relative:page;mso-height-relative:page;" filled="f" stroked="f" coordsize="21600,21600" o:gfxdata="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52H2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4A2CDAFD">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zMmVmMTU4YTNiNDllODQ3MmE1NzZmMWEzYmQ2MGMifQ=="/>
  </w:docVars>
  <w:rsids>
    <w:rsidRoot w:val="00F8105F"/>
    <w:rsid w:val="000316B1"/>
    <w:rsid w:val="0003313C"/>
    <w:rsid w:val="000956D7"/>
    <w:rsid w:val="000A0B50"/>
    <w:rsid w:val="000B6766"/>
    <w:rsid w:val="001364C2"/>
    <w:rsid w:val="00150184"/>
    <w:rsid w:val="00245FF2"/>
    <w:rsid w:val="00283DB0"/>
    <w:rsid w:val="002861D3"/>
    <w:rsid w:val="00375B3B"/>
    <w:rsid w:val="003D0DC6"/>
    <w:rsid w:val="003D25A1"/>
    <w:rsid w:val="00427251"/>
    <w:rsid w:val="0046180A"/>
    <w:rsid w:val="00485429"/>
    <w:rsid w:val="004941B2"/>
    <w:rsid w:val="0052211E"/>
    <w:rsid w:val="00536804"/>
    <w:rsid w:val="0066054A"/>
    <w:rsid w:val="006D58AB"/>
    <w:rsid w:val="006E452A"/>
    <w:rsid w:val="00730A9B"/>
    <w:rsid w:val="007E0333"/>
    <w:rsid w:val="007E2992"/>
    <w:rsid w:val="0082640D"/>
    <w:rsid w:val="008A22F4"/>
    <w:rsid w:val="008A498C"/>
    <w:rsid w:val="008D532D"/>
    <w:rsid w:val="008F2437"/>
    <w:rsid w:val="00911234"/>
    <w:rsid w:val="00922636"/>
    <w:rsid w:val="009A50EC"/>
    <w:rsid w:val="009B1DAE"/>
    <w:rsid w:val="00AF0597"/>
    <w:rsid w:val="00AF0D1D"/>
    <w:rsid w:val="00B64972"/>
    <w:rsid w:val="00C363B4"/>
    <w:rsid w:val="00C90560"/>
    <w:rsid w:val="00CB4665"/>
    <w:rsid w:val="00CF05AB"/>
    <w:rsid w:val="00D47F68"/>
    <w:rsid w:val="00D50E63"/>
    <w:rsid w:val="00D94C21"/>
    <w:rsid w:val="00DB65FC"/>
    <w:rsid w:val="00DF3E1F"/>
    <w:rsid w:val="00EB28C9"/>
    <w:rsid w:val="00EB32AF"/>
    <w:rsid w:val="00EC49A4"/>
    <w:rsid w:val="00EF70E3"/>
    <w:rsid w:val="00EF74E8"/>
    <w:rsid w:val="00F145CB"/>
    <w:rsid w:val="00F75457"/>
    <w:rsid w:val="00F8105F"/>
    <w:rsid w:val="00F921A1"/>
    <w:rsid w:val="086724C2"/>
    <w:rsid w:val="0F6E05DA"/>
    <w:rsid w:val="0FFF4E0A"/>
    <w:rsid w:val="142D2165"/>
    <w:rsid w:val="1EE14925"/>
    <w:rsid w:val="3987763B"/>
    <w:rsid w:val="39C52857"/>
    <w:rsid w:val="42D6384E"/>
    <w:rsid w:val="45DC2413"/>
    <w:rsid w:val="4A93401D"/>
    <w:rsid w:val="56F41E3F"/>
    <w:rsid w:val="5C4B0904"/>
    <w:rsid w:val="5C9F4EFC"/>
    <w:rsid w:val="5E9B774C"/>
    <w:rsid w:val="64A21A2D"/>
    <w:rsid w:val="67F0485E"/>
    <w:rsid w:val="685030CD"/>
    <w:rsid w:val="69E65275"/>
    <w:rsid w:val="6A1D39D5"/>
    <w:rsid w:val="7BAE6AB2"/>
    <w:rsid w:val="7C60176A"/>
    <w:rsid w:val="FFFF4FC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2"/>
      <w:ind w:left="1318" w:right="1555"/>
      <w:jc w:val="center"/>
      <w:outlineLvl w:val="0"/>
    </w:pPr>
    <w:rPr>
      <w:b/>
      <w:bCs/>
      <w:sz w:val="30"/>
      <w:szCs w:val="30"/>
    </w:rPr>
  </w:style>
  <w:style w:type="paragraph" w:styleId="3">
    <w:name w:val="heading 2"/>
    <w:basedOn w:val="1"/>
    <w:next w:val="1"/>
    <w:qFormat/>
    <w:uiPriority w:val="1"/>
    <w:pPr>
      <w:ind w:left="3612"/>
      <w:outlineLvl w:val="1"/>
    </w:pPr>
    <w:rPr>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qFormat/>
    <w:uiPriority w:val="0"/>
  </w:style>
  <w:style w:type="paragraph" w:styleId="5">
    <w:name w:val="Body Text"/>
    <w:basedOn w:val="1"/>
    <w:qFormat/>
    <w:uiPriority w:val="1"/>
    <w:pPr>
      <w:spacing w:before="1"/>
      <w:ind w:left="120" w:firstLine="480"/>
    </w:pPr>
    <w:rPr>
      <w:sz w:val="24"/>
      <w:szCs w:val="24"/>
    </w:rPr>
  </w:style>
  <w:style w:type="paragraph" w:styleId="6">
    <w:name w:val="footer"/>
    <w:basedOn w:val="1"/>
    <w:link w:val="17"/>
    <w:qFormat/>
    <w:uiPriority w:val="0"/>
    <w:pPr>
      <w:tabs>
        <w:tab w:val="center" w:pos="4153"/>
        <w:tab w:val="right" w:pos="8306"/>
      </w:tabs>
      <w:snapToGrid w:val="0"/>
    </w:pPr>
    <w:rPr>
      <w:sz w:val="18"/>
      <w:szCs w:val="18"/>
    </w:rPr>
  </w:style>
  <w:style w:type="paragraph" w:styleId="7">
    <w:name w:val="header"/>
    <w:basedOn w:val="1"/>
    <w:link w:val="16"/>
    <w:qFormat/>
    <w:uiPriority w:val="0"/>
    <w:pPr>
      <w:tabs>
        <w:tab w:val="center" w:pos="4153"/>
        <w:tab w:val="right" w:pos="8306"/>
      </w:tabs>
      <w:snapToGrid w:val="0"/>
      <w:jc w:val="center"/>
    </w:pPr>
    <w:rPr>
      <w:sz w:val="18"/>
      <w:szCs w:val="18"/>
    </w:rPr>
  </w:style>
  <w:style w:type="paragraph" w:styleId="8">
    <w:name w:val="annotation subject"/>
    <w:basedOn w:val="4"/>
    <w:next w:val="4"/>
    <w:link w:val="20"/>
    <w:qFormat/>
    <w:uiPriority w:val="0"/>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spacing w:before="160"/>
      <w:ind w:left="841" w:hanging="241"/>
    </w:pPr>
  </w:style>
  <w:style w:type="paragraph" w:customStyle="1" w:styleId="15">
    <w:name w:val="Table Paragraph"/>
    <w:basedOn w:val="1"/>
    <w:qFormat/>
    <w:uiPriority w:val="1"/>
  </w:style>
  <w:style w:type="character" w:customStyle="1" w:styleId="16">
    <w:name w:val="页眉 Char"/>
    <w:basedOn w:val="11"/>
    <w:link w:val="7"/>
    <w:qFormat/>
    <w:uiPriority w:val="0"/>
    <w:rPr>
      <w:rFonts w:ascii="宋体" w:hAnsi="宋体" w:eastAsia="宋体" w:cs="宋体"/>
      <w:sz w:val="18"/>
      <w:szCs w:val="18"/>
      <w:lang w:val="zh-CN" w:bidi="zh-CN"/>
    </w:rPr>
  </w:style>
  <w:style w:type="character" w:customStyle="1" w:styleId="17">
    <w:name w:val="页脚 Char"/>
    <w:basedOn w:val="11"/>
    <w:link w:val="6"/>
    <w:qFormat/>
    <w:uiPriority w:val="0"/>
    <w:rPr>
      <w:rFonts w:ascii="宋体" w:hAnsi="宋体" w:eastAsia="宋体" w:cs="宋体"/>
      <w:sz w:val="18"/>
      <w:szCs w:val="18"/>
      <w:lang w:val="zh-CN" w:bidi="zh-CN"/>
    </w:rPr>
  </w:style>
  <w:style w:type="paragraph" w:customStyle="1" w:styleId="18">
    <w:name w:val="修订1"/>
    <w:hidden/>
    <w:unhideWhenUsed/>
    <w:qFormat/>
    <w:uiPriority w:val="99"/>
    <w:rPr>
      <w:rFonts w:ascii="宋体" w:hAnsi="宋体" w:eastAsia="宋体" w:cs="宋体"/>
      <w:sz w:val="22"/>
      <w:szCs w:val="22"/>
      <w:lang w:val="zh-CN" w:eastAsia="zh-CN" w:bidi="zh-CN"/>
    </w:rPr>
  </w:style>
  <w:style w:type="character" w:customStyle="1" w:styleId="19">
    <w:name w:val="批注文字 Char"/>
    <w:basedOn w:val="11"/>
    <w:link w:val="4"/>
    <w:qFormat/>
    <w:uiPriority w:val="0"/>
    <w:rPr>
      <w:rFonts w:ascii="宋体" w:hAnsi="宋体" w:eastAsia="宋体" w:cs="宋体"/>
      <w:sz w:val="22"/>
      <w:szCs w:val="22"/>
      <w:lang w:val="zh-CN" w:bidi="zh-CN"/>
    </w:rPr>
  </w:style>
  <w:style w:type="character" w:customStyle="1" w:styleId="20">
    <w:name w:val="批注主题 Char"/>
    <w:basedOn w:val="19"/>
    <w:link w:val="8"/>
    <w:qFormat/>
    <w:uiPriority w:val="0"/>
    <w:rPr>
      <w:rFonts w:ascii="宋体" w:hAnsi="宋体" w:eastAsia="宋体" w:cs="宋体"/>
      <w:b/>
      <w:bCs/>
      <w:sz w:val="2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669</Words>
  <Characters>3815</Characters>
  <Lines>31</Lines>
  <Paragraphs>8</Paragraphs>
  <TotalTime>33</TotalTime>
  <ScaleCrop>false</ScaleCrop>
  <LinksUpToDate>false</LinksUpToDate>
  <CharactersWithSpaces>4476</CharactersWithSpaces>
  <Application>WPS Office WWO_wpscloud_20241113211456-55c44f69b6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2024-11-08T15:46:00Z</dcterms:created>
  <dc:creator>史晓乐</dc:creator>
  <cp:lastModifiedBy>史晓乐</cp:lastModifiedBy>
  <cp:lastPrinted>2024-11-15T15:46:00Z</cp:lastPrinted>
  <dcterms:modified xsi:type="dcterms:W3CDTF">2024-11-20T10:43:16Z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WPS 文字</vt:lpwstr>
  </property>
  <property fmtid="{D5CDD505-2E9C-101B-9397-08002B2CF9AE}" pid="4" name="LastSaved">
    <vt:filetime>2021-11-25T00:00:00Z</vt:filetime>
  </property>
  <property fmtid="{D5CDD505-2E9C-101B-9397-08002B2CF9AE}" pid="5" name="KSOProductBuildVer">
    <vt:lpwstr>2052-12.9.0.18938</vt:lpwstr>
  </property>
  <property fmtid="{D5CDD505-2E9C-101B-9397-08002B2CF9AE}" pid="6" name="ICV">
    <vt:lpwstr>D31FB596BA4DA324C44C3D6707A2D47C_43</vt:lpwstr>
  </property>
  <property fmtid="{D5CDD505-2E9C-101B-9397-08002B2CF9AE}" pid="7" name="GrammarlyDocumentId">
    <vt:lpwstr>ad0bb5728f126d2b327c6e72c8bb495f9cd878d77be99079924e4e03de71d41c</vt:lpwstr>
  </property>
</Properties>
</file>