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072E57"/>
          <w:spacing w:val="0"/>
          <w:sz w:val="33"/>
          <w:szCs w:val="33"/>
        </w:rPr>
      </w:pPr>
      <w:r>
        <w:rPr>
          <w:rFonts w:hint="eastAsia" w:ascii="微软雅黑" w:hAnsi="微软雅黑" w:eastAsia="微软雅黑" w:cs="微软雅黑"/>
          <w:b/>
          <w:bCs/>
          <w:i w:val="0"/>
          <w:iCs w:val="0"/>
          <w:caps w:val="0"/>
          <w:color w:val="072E57"/>
          <w:spacing w:val="0"/>
          <w:sz w:val="33"/>
          <w:szCs w:val="33"/>
          <w:bdr w:val="none" w:color="auto" w:sz="0" w:space="0"/>
          <w:shd w:val="clear" w:fill="FFFFFF"/>
        </w:rPr>
        <w:t>安徽大学</w:t>
      </w:r>
      <w:bookmarkStart w:id="0" w:name="_GoBack"/>
      <w:r>
        <w:rPr>
          <w:rFonts w:hint="eastAsia" w:ascii="微软雅黑" w:hAnsi="微软雅黑" w:eastAsia="微软雅黑" w:cs="微软雅黑"/>
          <w:b/>
          <w:bCs/>
          <w:i w:val="0"/>
          <w:iCs w:val="0"/>
          <w:caps w:val="0"/>
          <w:color w:val="072E57"/>
          <w:spacing w:val="0"/>
          <w:sz w:val="33"/>
          <w:szCs w:val="33"/>
          <w:bdr w:val="none" w:color="auto" w:sz="0" w:space="0"/>
          <w:shd w:val="clear" w:fill="FFFFFF"/>
        </w:rPr>
        <w:t>人工智能学院</w:t>
      </w:r>
      <w:bookmarkEnd w:id="0"/>
      <w:r>
        <w:rPr>
          <w:rFonts w:hint="eastAsia" w:ascii="微软雅黑" w:hAnsi="微软雅黑" w:eastAsia="微软雅黑" w:cs="微软雅黑"/>
          <w:b/>
          <w:bCs/>
          <w:i w:val="0"/>
          <w:iCs w:val="0"/>
          <w:caps w:val="0"/>
          <w:color w:val="072E57"/>
          <w:spacing w:val="0"/>
          <w:sz w:val="33"/>
          <w:szCs w:val="33"/>
          <w:bdr w:val="none" w:color="auto" w:sz="0" w:space="0"/>
          <w:shd w:val="clear" w:fill="FFFFFF"/>
        </w:rPr>
        <w:t>2024年电子信息工程博士专业学位研究生选拔实施细则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48"/>
        <w:jc w:val="left"/>
        <w:rPr>
          <w:rFonts w:ascii="Arial" w:hAnsi="Arial" w:cs="Arial"/>
          <w:b/>
          <w:bCs/>
          <w:i w:val="0"/>
          <w:iCs w:val="0"/>
          <w:caps w:val="0"/>
          <w:color w:val="333333"/>
          <w:spacing w:val="0"/>
          <w:sz w:val="21"/>
          <w:szCs w:val="21"/>
        </w:rPr>
      </w:pPr>
      <w:r>
        <w:rPr>
          <w:rFonts w:ascii="微软雅黑" w:hAnsi="微软雅黑" w:eastAsia="微软雅黑" w:cs="微软雅黑"/>
          <w:b/>
          <w:bCs/>
          <w:i w:val="0"/>
          <w:iCs w:val="0"/>
          <w:caps w:val="0"/>
          <w:color w:val="333333"/>
          <w:spacing w:val="0"/>
          <w:sz w:val="27"/>
          <w:szCs w:val="27"/>
          <w:bdr w:val="none" w:color="auto" w:sz="0" w:space="0"/>
          <w:shd w:val="clear" w:fill="FFFFFF"/>
        </w:rPr>
        <w:t>一、招生类别及专业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招生类别为全日制专业学位博士研究生。招生领域、招生人数、研究方向、招生导师等见《安徽大学</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2024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年电子信息工程博士专业学位研究生招生专业目录》。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48"/>
        <w:jc w:val="left"/>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（一）拥护中国共产党的领导，具有正确的政治方向，热爱祖国，愿意为社会主义现代化建设服务，遵纪守法，品行端正。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（二）身心健康状况符合我校规定的体检标准。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（三）考生的学位必须符合下列条件之一：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）已获硕士学位的人员（其中境外所获得学位须出具“教育部留学人员服务中心”的认证证书），在职人员从事的科研和管理工作必须有电子信息类学科背景；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）应届硕士毕业生（最迟须在入学前取得硕士学位证或硕士毕业证），硕士学位论文必须为电子信息相关方向；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）以硕士毕业同等学力身份报考的人员，须满足基本条件并且具有代表性科研成果，在职从事的科研和管理工作必须有电子信息类学科背景，其中：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基本条件须符合以下条件之一：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0000FF"/>
          <w:spacing w:val="0"/>
          <w:sz w:val="27"/>
          <w:szCs w:val="27"/>
          <w:bdr w:val="none" w:color="auto" w:sz="0" w:space="0"/>
          <w:shd w:val="clear" w:fill="FFFFFF"/>
        </w:rPr>
        <w:t> ①获学士学位后具有6年以上工作经历（从获学士学位之日起）并且具有副高及以上职称或获得市级及以上高层次人才认定；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②</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获学士学位后具有</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10</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年以上工作经历（从获学士学位之日起）。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代表性科研成果须满足下列条件之一：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①</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在本职工作中已取得显著性成果，其中至少一项成果获省部级及以上奖励（排名前六）；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②</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参与过电子信息类行业领域内重大重点科研或工程项目（任务书排名前五）；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③</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以第一作者身份在电子信息类领域内发表过高水平学术论文至少</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篇或以第一作者身份授权电子信息类发明专利</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（四）对电子信息类工程应用、工程管理研究有浓厚的兴趣，有较强的创新意识、创新能力和专业能力。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（五）参与过所在单位承担的电子信息类国家科技重大项目或单位自主设置的电子信息类科技重大项目，并担任主要技术骨干或管理骨干，具有成为创新人才的潜质，同等条件下优先录取。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（六）申请人为应届毕业硕士研究生，除了满足以上（一）至（五）的专业博士基本报考条件外，还需满足下列条件之一：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科研成果满足以下条件之一：以第一完成人发表高水平学术期刊</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会议论文</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篇；以第一完成人授权发明专利</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件；作为负责人参加大学生科技创新大赛（“互联网</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挑战杯”等）获省级及以上一等奖</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项；作为参与者获省级及以上科研成果奖励</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应届毕业生已落实就业单位，与用人单位签订定向培养协议，由用人单位确定学生攻读博士学位期间研究课题，并给予相应的经费支持。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（七）申请人为已获硕士学位的考生，除了满足以上（一）至（五）的专业博士基本报考条件外，还需同时满足以下条件：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、考生本科或硕士阶段具有计算机类相关学科领域背景，具有较好的计算机类相关领域工程技术理论基础和较强的工程实践能力或潜力。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、考生需具有计算机类相关行业</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年及以上实际工作经验。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48"/>
        <w:jc w:val="left"/>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三、招生方式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我校全日制工程博士采用“硕博连读”和“申请</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考核”制两种招生方式，其中，硕博连读招生人数原则上不超过当年招生计划的</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20%</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48"/>
        <w:jc w:val="left"/>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四、网上报名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报名时间：</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2024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6</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月</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日</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9</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00-2024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6</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月</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13</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日</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9</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00</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申请人登录中国研究生招生信息网（</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http://yz.chsi.com.cn/</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），进行网上报名、缴费。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报名考试费用：</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250</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元</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缴费方式：网上缴费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考生报考材料、报名费均不退还。不缴费者不予考试。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48"/>
        <w:jc w:val="left"/>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五、资格审查及复试安排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考生报名成功后，须在</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6</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月</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15</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日前向我院提交以下材料供资格审核使用，外地考生请在邮件封面注明“人工智能学院</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2024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年博士招生申请考核材料”（地址：安徽省合肥市九龙路</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111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号安徽大学磬苑校区材料</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H</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楼</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404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室，马老师，</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0551-63861421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34"/>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复试前，申请人须向所报考培养单位提交如下材料进行资格审查：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0000FF"/>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0000FF"/>
          <w:spacing w:val="0"/>
          <w:sz w:val="27"/>
          <w:szCs w:val="27"/>
          <w:bdr w:val="none" w:color="auto" w:sz="0" w:space="0"/>
          <w:shd w:val="clear" w:fill="FFFFFF"/>
          <w:lang w:eastAsia="zh-CN"/>
        </w:rPr>
        <w:t>《博士学位研究生网上报名信息简表》（从报名系统下载打印，需考生本人签字、单位人事或政工部门盖章）；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《安徽大学硕博连读博士研究生申请表》或《安徽大学“申请</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考核”制博士研究生申请表》（从我校研究生院网站下载专区下载打印，需考生本人签字、单位人事或政工部门盖章）；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申请人本人身份证复印件；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本科毕业证、学位证和硕士研究生毕业证、学位证复印件（应届毕业硕士生提交所在学校研究生管理部门出具的在学证明）；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5.</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硕士研究生阶段成绩单；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6.</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申请学科或相近学科的两名正高职称《申请攻读安徽大学博士研究生专家推荐信》（从我校研究生院网站下载专区下载打印）；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7.</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科研成果及获奖证书等证明学术才能的材料及各招生单位要求提供的相关材料。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申请人应仔细核对本人是否符合申请条件，如实提供申请材料。如发现申请人提交虚假材料、作弊及其它违纪行为，将根据国家、学校规定严肃处理，包括取消报考资格、录取资格及学籍等，相应后果由申请人自己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48"/>
        <w:jc w:val="both"/>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00000A"/>
          <w:spacing w:val="0"/>
          <w:sz w:val="27"/>
          <w:szCs w:val="27"/>
          <w:bdr w:val="none" w:color="auto" w:sz="0" w:space="0"/>
          <w:shd w:val="clear" w:fill="FFFFFF"/>
          <w:lang w:eastAsia="zh-CN"/>
        </w:rPr>
        <w:t>六、招生导师及限额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招收硕博连读与申请审核制博士研究生的导师，须取得</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2024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年招生资格。学院招生工作小组根据科研项目、科研成果和人才培养成效等情况确定导师招生顺序。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招收硕博连读及申请审核制博士研究生占我院</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2024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年的博士招生计划。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人工智能学院“电子信息”一级学科博士点拟招收硕博连读及申请审核制博士研究生</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7</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00000A"/>
          <w:spacing w:val="0"/>
          <w:sz w:val="27"/>
          <w:szCs w:val="27"/>
          <w:bdr w:val="none" w:color="auto" w:sz="0" w:space="0"/>
          <w:shd w:val="clear" w:fill="FFFFFF"/>
          <w:lang w:eastAsia="zh-CN"/>
        </w:rPr>
        <w:t>七、考核选拔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、学院成立博士研究生招生工作小组，负责制定本学院</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2024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年工程博士研究生选拔工作实施细则。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、成立不少于五人的本学科副教授职称（含） 或相当专业技术职务以上专家组成选拔小组，考核选拔小组成员包括该学科负责人、博士生导师、招生导师等。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、考核安排：我院对申请人材料进行初审，进入考核的申请人名单及考核具体时间、地点等事宜以我院网站公告为准。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、考核方式：线下面试。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5</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、录取排序规则和递补规则</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）根据学院招生计划，按照考生面试成绩排序，从高分到低分依次确定拟录取名单。拟录取名单中如有超过</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名考生在同一导师名下，则该导师名下面试成绩排序靠后的考生需结合其他导师意愿服从调剂或自愿放弃。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若有考生放弃拟录取资格，在学校规定时间内结合导师意愿根据面试成绩顺延录取，替补结果以学校审核结果为准，最终名单由研究生院网站统一公布。若无合格生源递补，将根据学校安排启动第二轮招生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复试结果经学院博士研究生招生工作小组进行审核，确认无误后将拟录取名单报研究生院。最终录取结果由学校研究生院公布。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6.</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公示：我院将参加复试所有考生的复试成绩等情况在本单位网站上公示不少于</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5</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我院将拟录取的博士生申请材料报送研究生招生办公室。学校研究生招生领导小组审定拟录取名单后，在研究生院网站公示不少于</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10</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05"/>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7</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、本院党委的纪检委员负责对复试各个环节进行监督。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48"/>
        <w:jc w:val="left"/>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lang w:eastAsia="zh-CN"/>
        </w:rPr>
        <w:t>八、考核内容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考核主要包括考生的英语应用能力、学术水平和科研能力、综合素质和思想品德等内容。考核成绩采用百分制，满分</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100</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、英语应用能力考核：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通过随机提问、文献翻译等形式考查考生英语听、说、读、写的综合运用能力。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、学术水平考核：考核选拔小组根据专业培养目标的要求，重点考查考生的科研创新能力和科研成果、对本学科前沿领域及最新研究动态的掌握情况、综合运用所学知识的能力等；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综合素质和思想品德考核：参考考生提交的材料，进行综合测评，判断考生是否具备博士生培养的潜能和素质。学院党委全面审查其思想政治素质和道德品质。主要内容包括考生的政治态度、思想表现、学习（工作）态度、道德品质、守法表现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考核选拔小组分别从以上三方面按百分制打分，最后按权重计算总分，计算公式为：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总分</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英语水平</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*20%+</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学术水平</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*50%+</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综合素质</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48"/>
        <w:jc w:val="left"/>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lang w:eastAsia="zh-CN"/>
        </w:rPr>
        <w:t>九、学费及资助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在我校学习的工程博士每学年均需交纳学费，学费标准为</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14000</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元</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学年（按三年交纳</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具体资助政策以当年的学校资助文件为准。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48"/>
        <w:jc w:val="left"/>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lang w:eastAsia="zh-CN"/>
        </w:rPr>
        <w:t>十、其他事宜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1.</w:t>
      </w:r>
      <w:r>
        <w:rPr>
          <w:rFonts w:hint="eastAsia" w:ascii="宋体" w:hAnsi="宋体" w:eastAsia="宋体" w:cs="宋体"/>
          <w:i w:val="0"/>
          <w:iCs w:val="0"/>
          <w:caps w:val="0"/>
          <w:color w:val="3B3B3B"/>
          <w:spacing w:val="0"/>
          <w:sz w:val="30"/>
          <w:szCs w:val="30"/>
          <w:u w:val="single"/>
          <w:bdr w:val="none" w:color="auto" w:sz="0" w:space="0"/>
          <w:shd w:val="clear" w:fill="FFFFFF"/>
          <w:lang w:eastAsia="zh-CN"/>
        </w:rPr>
        <w:fldChar w:fldCharType="begin"/>
      </w:r>
      <w:r>
        <w:rPr>
          <w:rFonts w:hint="eastAsia" w:ascii="宋体" w:hAnsi="宋体" w:eastAsia="宋体" w:cs="宋体"/>
          <w:i w:val="0"/>
          <w:iCs w:val="0"/>
          <w:caps w:val="0"/>
          <w:color w:val="3B3B3B"/>
          <w:spacing w:val="0"/>
          <w:sz w:val="30"/>
          <w:szCs w:val="30"/>
          <w:u w:val="single"/>
          <w:bdr w:val="none" w:color="auto" w:sz="0" w:space="0"/>
          <w:shd w:val="clear" w:fill="FFFFFF"/>
          <w:lang w:eastAsia="zh-CN"/>
        </w:rPr>
        <w:instrText xml:space="preserve"> HYPERLINK "https://www.zzyedu.org/Professional_EngD.html" </w:instrText>
      </w:r>
      <w:r>
        <w:rPr>
          <w:rFonts w:hint="eastAsia" w:ascii="宋体" w:hAnsi="宋体" w:eastAsia="宋体" w:cs="宋体"/>
          <w:i w:val="0"/>
          <w:iCs w:val="0"/>
          <w:caps w:val="0"/>
          <w:color w:val="3B3B3B"/>
          <w:spacing w:val="0"/>
          <w:sz w:val="30"/>
          <w:szCs w:val="30"/>
          <w:u w:val="single"/>
          <w:bdr w:val="none" w:color="auto" w:sz="0" w:space="0"/>
          <w:shd w:val="clear" w:fill="FFFFFF"/>
          <w:lang w:eastAsia="zh-CN"/>
        </w:rPr>
        <w:fldChar w:fldCharType="separate"/>
      </w:r>
      <w:r>
        <w:rPr>
          <w:rStyle w:val="7"/>
          <w:rFonts w:hint="eastAsia" w:ascii="微软雅黑" w:hAnsi="微软雅黑" w:eastAsia="微软雅黑" w:cs="微软雅黑"/>
          <w:i w:val="0"/>
          <w:iCs w:val="0"/>
          <w:caps w:val="0"/>
          <w:color w:val="333333"/>
          <w:spacing w:val="0"/>
          <w:sz w:val="27"/>
          <w:szCs w:val="27"/>
          <w:u w:val="single"/>
          <w:bdr w:val="none" w:color="auto" w:sz="0" w:space="0"/>
          <w:shd w:val="clear" w:fill="FFFFFF"/>
          <w:lang w:eastAsia="zh-CN"/>
        </w:rPr>
        <w:t>工程博士</w:t>
      </w:r>
      <w:r>
        <w:rPr>
          <w:rFonts w:hint="eastAsia" w:ascii="宋体" w:hAnsi="宋体" w:eastAsia="宋体" w:cs="宋体"/>
          <w:i w:val="0"/>
          <w:iCs w:val="0"/>
          <w:caps w:val="0"/>
          <w:color w:val="3B3B3B"/>
          <w:spacing w:val="0"/>
          <w:sz w:val="30"/>
          <w:szCs w:val="30"/>
          <w:u w:val="single"/>
          <w:bdr w:val="none" w:color="auto" w:sz="0" w:space="0"/>
          <w:shd w:val="clear" w:fill="FFFFFF"/>
          <w:lang w:eastAsia="zh-CN"/>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采取校企合作的方式进行培养，录取类别分为定向就业和非定向就业两种。非定向就业的研究生人事档案和工资关系需转入我校；定向就业的研究生须在被录取前与学校、用人单位分别签订定向就业合同，人事档案和工资关系不转入我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工程博士研究生的基本修业年限为三年。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对在申请考核过程中有违规行为的考生，一经查实，即按照《国家教育考试违规处理办法》《普通高等学校招生违规行为处理暂行办法》等规定严肃处理，取消录取资格，记入《考生考试诚信档案》。入学后</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个月内，我校将按照《普通高等学校学生管理规定》有关要求，对所有考生进行全面复查，对复试、复查中表现差异大的，进行严格审核和调查，确认冒名顶替或考试舞弊的，将予以严肃处理，并进行追究。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48"/>
        <w:jc w:val="left"/>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lang w:eastAsia="zh-CN"/>
        </w:rPr>
        <w:t>十一、监督电话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619"/>
        <w:jc w:val="lef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对复试考核和录取工作全过程涉及的违法违规行为的举报，由督查组统一受理并按照有关规定进行查处（监督电话：</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0551—63861065</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B4258DE"/>
    <w:rsid w:val="07FC3326"/>
    <w:rsid w:val="25BE697B"/>
    <w:rsid w:val="2D637F86"/>
    <w:rsid w:val="6B42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2024-06-26T02:17:00Z</dcterms:created>
  <dc:creator>WPS_1663235086</dc:creator>
  <cp:lastModifiedBy>WPS_1663235086</cp:lastModifiedBy>
  <dcterms:modified xsi:type="dcterms:W3CDTF">2024-06-26T02:21:25Z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D5F1F67AB95D418AB27DBA0BFAC1BCC5_13</vt:lpwstr>
  </property>
</Properties>
</file>