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ind w:right="0" w:rightChars="0"/>
        <w:jc w:val="both"/>
        <w:textAlignment w:val="auto"/>
        <w:rPr>
          <w:rFonts w:hint="eastAsia" w:ascii="黑体" w:hAnsi="黑体" w:eastAsia="黑体" w:cs="黑体"/>
          <w:b w:val="0"/>
          <w:bCs/>
          <w:kern w:val="2"/>
          <w:sz w:val="32"/>
          <w:szCs w:val="32"/>
          <w:highlight w:val="none"/>
          <w:lang w:val="en-US" w:eastAsia="zh-CN"/>
        </w:rPr>
      </w:pPr>
      <w:r>
        <w:rPr>
          <w:rFonts w:hint="eastAsia" w:ascii="黑体" w:hAnsi="黑体" w:eastAsia="黑体" w:cs="黑体"/>
          <w:b w:val="0"/>
          <w:bCs/>
          <w:kern w:val="2"/>
          <w:sz w:val="32"/>
          <w:szCs w:val="32"/>
          <w:highlight w:val="none"/>
          <w:lang w:val="en-US" w:eastAsia="zh-CN"/>
        </w:rPr>
        <w:t>附件</w:t>
      </w:r>
      <w:r>
        <w:rPr>
          <w:rFonts w:hint="eastAsia" w:ascii="Times New Roman" w:hAnsi="Times New Roman" w:eastAsia="黑体" w:cs="Times New Roman"/>
          <w:b w:val="0"/>
          <w:bCs/>
          <w:kern w:val="2"/>
          <w:sz w:val="32"/>
          <w:szCs w:val="32"/>
          <w:highlight w:val="none"/>
          <w:lang w:val="en-US" w:eastAsia="zh-CN"/>
        </w:rPr>
        <w:t>2</w:t>
      </w:r>
    </w:p>
    <w:p>
      <w:pPr>
        <w:keepNext w:val="0"/>
        <w:keepLines w:val="0"/>
        <w:pageBreakBefore w:val="0"/>
        <w:widowControl w:val="0"/>
        <w:kinsoku/>
        <w:wordWrap/>
        <w:overflowPunct/>
        <w:topLinePunct w:val="0"/>
        <w:autoSpaceDE/>
        <w:autoSpaceDN/>
        <w:bidi w:val="0"/>
        <w:snapToGrid w:val="0"/>
        <w:spacing w:line="560" w:lineRule="exact"/>
        <w:ind w:right="0" w:rightChars="0" w:firstLine="880" w:firstLineChars="200"/>
        <w:jc w:val="center"/>
        <w:textAlignment w:val="auto"/>
        <w:rPr>
          <w:rFonts w:ascii="Times New Roman" w:hAnsi="Times New Roman" w:eastAsia="方正小标宋简体" w:cs="Times New Roman"/>
          <w:b/>
          <w:kern w:val="2"/>
          <w:sz w:val="44"/>
          <w:szCs w:val="44"/>
          <w:highlight w:val="none"/>
        </w:rPr>
      </w:pPr>
      <w:r>
        <w:rPr>
          <w:rFonts w:ascii="Times New Roman" w:hAnsi="Times New Roman" w:eastAsia="方正小标宋简体" w:cs="Times New Roman"/>
          <w:b w:val="0"/>
          <w:bCs/>
          <w:kern w:val="2"/>
          <w:sz w:val="44"/>
          <w:szCs w:val="44"/>
          <w:highlight w:val="none"/>
        </w:rPr>
        <w:t>202</w:t>
      </w:r>
      <w:r>
        <w:rPr>
          <w:rFonts w:hint="eastAsia" w:ascii="Times New Roman" w:hAnsi="Times New Roman" w:eastAsia="方正小标宋简体" w:cs="Times New Roman"/>
          <w:b w:val="0"/>
          <w:bCs/>
          <w:kern w:val="2"/>
          <w:sz w:val="44"/>
          <w:szCs w:val="44"/>
          <w:highlight w:val="none"/>
          <w:lang w:val="en-US" w:eastAsia="zh-CN"/>
        </w:rPr>
        <w:t>5</w:t>
      </w:r>
      <w:bookmarkStart w:id="0" w:name="_GoBack"/>
      <w:bookmarkEnd w:id="0"/>
      <w:r>
        <w:rPr>
          <w:rFonts w:ascii="Times New Roman" w:hAnsi="Times New Roman" w:eastAsia="方正小标宋简体" w:cs="Times New Roman"/>
          <w:b w:val="0"/>
          <w:bCs/>
          <w:kern w:val="2"/>
          <w:sz w:val="44"/>
          <w:szCs w:val="44"/>
          <w:highlight w:val="none"/>
        </w:rPr>
        <w:t>年博士研究生各专业报考要求</w:t>
      </w:r>
    </w:p>
    <w:p>
      <w:pPr>
        <w:keepNext w:val="0"/>
        <w:keepLines w:val="0"/>
        <w:pageBreakBefore w:val="0"/>
        <w:widowControl w:val="0"/>
        <w:kinsoku/>
        <w:wordWrap/>
        <w:overflowPunct/>
        <w:topLinePunct w:val="0"/>
        <w:autoSpaceDE/>
        <w:autoSpaceDN/>
        <w:bidi w:val="0"/>
        <w:snapToGrid w:val="0"/>
        <w:spacing w:line="560" w:lineRule="exact"/>
        <w:ind w:right="0" w:rightChars="0" w:firstLine="482" w:firstLineChars="200"/>
        <w:jc w:val="center"/>
        <w:textAlignment w:val="auto"/>
        <w:rPr>
          <w:rFonts w:ascii="Times New Roman" w:hAnsi="Times New Roman" w:eastAsia="方正小标宋简体" w:cs="Times New Roman"/>
          <w:b/>
          <w:kern w:val="2"/>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hint="eastAsia" w:ascii="Times New Roman" w:hAnsi="Times New Roman" w:eastAsia="黑体" w:cs="Times New Roman"/>
          <w:kern w:val="2"/>
          <w:sz w:val="30"/>
          <w:szCs w:val="30"/>
          <w:highlight w:val="none"/>
        </w:rPr>
      </w:pPr>
      <w:r>
        <w:rPr>
          <w:rFonts w:ascii="Times New Roman" w:hAnsi="Times New Roman" w:eastAsia="黑体" w:cs="Times New Roman"/>
          <w:bCs/>
          <w:kern w:val="2"/>
          <w:sz w:val="32"/>
          <w:szCs w:val="32"/>
          <w:highlight w:val="none"/>
        </w:rPr>
        <w:t>040200</w:t>
      </w:r>
      <w:r>
        <w:rPr>
          <w:rFonts w:ascii="Times New Roman" w:hAnsi="Times New Roman" w:eastAsia="黑体" w:cs="Times New Roman"/>
          <w:kern w:val="2"/>
          <w:sz w:val="32"/>
          <w:szCs w:val="32"/>
          <w:highlight w:val="none"/>
        </w:rPr>
        <w:t>心理学学术学位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bCs/>
          <w:kern w:val="0"/>
          <w:sz w:val="24"/>
          <w:szCs w:val="24"/>
          <w:highlight w:val="none"/>
        </w:rPr>
      </w:pPr>
      <w:r>
        <w:rPr>
          <w:rFonts w:ascii="Times New Roman" w:hAnsi="Times New Roman" w:eastAsia="仿宋_GB2312" w:cs="Times New Roman"/>
          <w:kern w:val="0"/>
          <w:sz w:val="30"/>
          <w:szCs w:val="30"/>
          <w:highlight w:val="none"/>
        </w:rPr>
        <w:t>报考心理学学术学位博士，硕士毕业专业应相同或相近。</w:t>
      </w:r>
      <w:r>
        <w:rPr>
          <w:rFonts w:ascii="Times New Roman" w:hAnsi="Times New Roman" w:eastAsia="仿宋_GB2312" w:cs="Times New Roman"/>
          <w:sz w:val="30"/>
          <w:szCs w:val="30"/>
          <w:highlight w:val="none"/>
        </w:rPr>
        <w:t>硕士为</w:t>
      </w:r>
      <w:r>
        <w:rPr>
          <w:rFonts w:ascii="Times New Roman" w:hAnsi="Times New Roman" w:eastAsia="仿宋_GB2312" w:cs="Times New Roman"/>
          <w:bCs/>
          <w:kern w:val="0"/>
          <w:sz w:val="30"/>
          <w:szCs w:val="30"/>
          <w:highlight w:val="none"/>
        </w:rPr>
        <w:t>医学类、教育学类教育学专业、生物科学类神经科学、（应用）统计学、人工智能、计算机科学与技术、生物医学工程专业可跨学科报考。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黑体" w:cs="Times New Roman"/>
                <w:kern w:val="0"/>
                <w:sz w:val="28"/>
                <w:szCs w:val="28"/>
                <w:highlight w:val="none"/>
              </w:rPr>
            </w:pPr>
            <w:r>
              <w:rPr>
                <w:rFonts w:ascii="Times New Roman" w:hAnsi="Times New Roman" w:eastAsia="黑体" w:cs="Times New Roman"/>
                <w:kern w:val="0"/>
                <w:sz w:val="28"/>
                <w:szCs w:val="28"/>
                <w:highlight w:val="none"/>
              </w:rPr>
              <w:t>专业类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黑体" w:cs="Times New Roman"/>
                <w:kern w:val="0"/>
                <w:sz w:val="28"/>
                <w:szCs w:val="28"/>
                <w:highlight w:val="none"/>
              </w:rPr>
            </w:pPr>
            <w:r>
              <w:rPr>
                <w:rFonts w:ascii="Times New Roman" w:hAnsi="Times New Roman" w:eastAsia="黑体" w:cs="Times New Roman"/>
                <w:kern w:val="0"/>
                <w:sz w:val="28"/>
                <w:szCs w:val="28"/>
                <w:highlight w:val="none"/>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医学门类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所有专业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0401教育学类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040101教育学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0710生物科学类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071006T神经科学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0712统计学类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071201统计学、071202应用统计学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0807电子信息类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080717T人工智能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0809计算机类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080901计算机科学与技术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0826生物医学工程类</w:t>
            </w:r>
          </w:p>
        </w:tc>
        <w:tc>
          <w:tcPr>
            <w:tcW w:w="6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560" w:lineRule="exact"/>
              <w:ind w:right="0" w:rightChars="0"/>
              <w:jc w:val="center"/>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082601生物医学工程</w:t>
            </w:r>
          </w:p>
        </w:tc>
      </w:tr>
    </w:tbl>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hint="eastAsia" w:ascii="Times New Roman" w:hAnsi="Times New Roman" w:eastAsia="黑体" w:cs="Times New Roman"/>
          <w:kern w:val="2"/>
          <w:sz w:val="30"/>
          <w:szCs w:val="30"/>
          <w:highlight w:val="none"/>
        </w:rPr>
      </w:pPr>
      <w:r>
        <w:rPr>
          <w:rFonts w:ascii="Times New Roman" w:hAnsi="Times New Roman" w:eastAsia="黑体" w:cs="Times New Roman"/>
          <w:bCs/>
          <w:kern w:val="2"/>
          <w:sz w:val="32"/>
          <w:szCs w:val="32"/>
          <w:highlight w:val="none"/>
        </w:rPr>
        <w:t>071000生物学学术学位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报考生物学学术学位博士，硕士毕业专业应相同或相近。</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083100生物医学工程学术学位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highlight w:val="none"/>
        </w:rPr>
      </w:pPr>
      <w:r>
        <w:rPr>
          <w:rFonts w:ascii="Times New Roman" w:hAnsi="Times New Roman" w:eastAsia="仿宋_GB2312" w:cs="Times New Roman"/>
          <w:kern w:val="0"/>
          <w:sz w:val="30"/>
          <w:szCs w:val="30"/>
          <w:highlight w:val="none"/>
        </w:rPr>
        <w:t>报考生物医学工程学术学位博士，硕士毕业专业应相同或相近。硕士为数学类、物理学类、化学类、生物科学类、统计学类、力学类、机械类、仪器类、材料类、电气类、电子信息类、自动化类、计算机类、化工与制药类、航空航天类、兵器类、核工程类、环境科学与工程类、安全科学与工程类、生物工程类、基础医学类、临床医学类、口腔医学类、公共卫生与预防医学类、医学技术类相关专业可跨学科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rFonts w:hint="eastAsia"/>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100100基础医学学术学位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报考基础医学学术学位博士，硕士毕业专业应与报考学科相同或相近。</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val="0"/>
        <w:spacing w:line="560" w:lineRule="exact"/>
        <w:ind w:right="0" w:rightChars="0" w:firstLine="640" w:firstLineChars="200"/>
        <w:jc w:val="left"/>
        <w:textAlignment w:val="auto"/>
        <w:rPr>
          <w:rFonts w:ascii="Times New Roman" w:hAnsi="Times New Roman" w:eastAsia="楷体_GB2312" w:cs="Times New Roman"/>
          <w:b/>
          <w:bCs/>
          <w:kern w:val="2"/>
          <w:sz w:val="24"/>
          <w:szCs w:val="24"/>
          <w:highlight w:val="none"/>
        </w:rPr>
      </w:pPr>
      <w:r>
        <w:rPr>
          <w:rFonts w:ascii="Times New Roman" w:hAnsi="Times New Roman" w:eastAsia="黑体" w:cs="Times New Roman"/>
          <w:bCs/>
          <w:kern w:val="2"/>
          <w:sz w:val="32"/>
          <w:szCs w:val="32"/>
          <w:highlight w:val="none"/>
        </w:rPr>
        <w:t>100200临床医学学术学位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default" w:ascii="Times New Roman" w:hAnsi="Times New Roman" w:eastAsia="仿宋_GB2312" w:cs="Times New Roman"/>
          <w:kern w:val="0"/>
          <w:sz w:val="30"/>
          <w:szCs w:val="30"/>
          <w:highlight w:val="none"/>
          <w:lang w:val="en-US" w:eastAsia="zh-CN"/>
        </w:rPr>
      </w:pPr>
      <w:r>
        <w:rPr>
          <w:rFonts w:ascii="Times New Roman" w:hAnsi="Times New Roman" w:eastAsia="仿宋_GB2312" w:cs="Times New Roman"/>
          <w:kern w:val="0"/>
          <w:sz w:val="30"/>
          <w:szCs w:val="30"/>
          <w:highlight w:val="none"/>
        </w:rPr>
        <w:t>报考临床医学学术学位博士，</w:t>
      </w:r>
      <w:r>
        <w:rPr>
          <w:rFonts w:hint="eastAsia" w:ascii="Times New Roman" w:hAnsi="Times New Roman" w:eastAsia="仿宋_GB2312" w:cs="Times New Roman"/>
          <w:kern w:val="0"/>
          <w:sz w:val="30"/>
          <w:szCs w:val="30"/>
          <w:highlight w:val="none"/>
        </w:rPr>
        <w:t>本科须为全日制临床医学</w:t>
      </w:r>
      <w:r>
        <w:rPr>
          <w:rFonts w:hint="eastAsia" w:ascii="Times New Roman" w:hAnsi="Times New Roman" w:eastAsia="仿宋_GB2312" w:cs="Times New Roman"/>
          <w:kern w:val="0"/>
          <w:sz w:val="30"/>
          <w:szCs w:val="30"/>
          <w:highlight w:val="none"/>
          <w:lang w:eastAsia="zh-CN"/>
        </w:rPr>
        <w:t>，</w:t>
      </w:r>
      <w:r>
        <w:rPr>
          <w:rFonts w:ascii="Times New Roman" w:hAnsi="Times New Roman" w:eastAsia="仿宋_GB2312" w:cs="Times New Roman"/>
          <w:kern w:val="0"/>
          <w:sz w:val="30"/>
          <w:szCs w:val="30"/>
          <w:highlight w:val="none"/>
        </w:rPr>
        <w:t>硕士毕业专业应相同或相近。硕士为基础医学、口腔医学等相关专业可跨学科报考。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100300口腔医学学术学位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报考口腔医学学术学位博士，</w:t>
      </w:r>
      <w:r>
        <w:rPr>
          <w:rFonts w:hint="eastAsia" w:ascii="Times New Roman" w:hAnsi="Times New Roman" w:eastAsia="仿宋_GB2312" w:cs="Times New Roman"/>
          <w:kern w:val="0"/>
          <w:sz w:val="30"/>
          <w:szCs w:val="30"/>
          <w:highlight w:val="none"/>
        </w:rPr>
        <w:t>本科须为全日制口腔医学</w:t>
      </w:r>
      <w:r>
        <w:rPr>
          <w:rFonts w:hint="eastAsia" w:ascii="Times New Roman" w:hAnsi="Times New Roman" w:eastAsia="仿宋_GB2312" w:cs="Times New Roman"/>
          <w:kern w:val="0"/>
          <w:sz w:val="30"/>
          <w:szCs w:val="30"/>
          <w:highlight w:val="none"/>
          <w:lang w:eastAsia="zh-CN"/>
        </w:rPr>
        <w:t>，</w:t>
      </w:r>
      <w:r>
        <w:rPr>
          <w:rFonts w:ascii="Times New Roman" w:hAnsi="Times New Roman" w:eastAsia="仿宋_GB2312" w:cs="Times New Roman"/>
          <w:kern w:val="0"/>
          <w:sz w:val="30"/>
          <w:szCs w:val="30"/>
          <w:highlight w:val="none"/>
        </w:rPr>
        <w:t>硕士毕业专业可相同或相关，接受医学、理学、工学门类专业跨学科报考。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left"/>
        <w:textAlignment w:val="auto"/>
        <w:rPr>
          <w:rFonts w:ascii="Times New Roman" w:hAnsi="Times New Roman" w:eastAsia="黑体" w:cs="Times New Roman"/>
          <w:kern w:val="2"/>
          <w:sz w:val="30"/>
          <w:szCs w:val="30"/>
          <w:highlight w:val="none"/>
        </w:rPr>
      </w:pPr>
      <w:r>
        <w:rPr>
          <w:rFonts w:ascii="Times New Roman" w:hAnsi="Times New Roman" w:eastAsia="黑体" w:cs="Times New Roman"/>
          <w:bCs/>
          <w:kern w:val="2"/>
          <w:sz w:val="32"/>
          <w:szCs w:val="32"/>
          <w:highlight w:val="none"/>
        </w:rPr>
        <w:t>100400公共卫生与预防医学学术学位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公共卫生与预防医学学术学位博士，硕士毕业专业应相同或相近。硕士为基础医学、临床医学、口腔医学、中医学、中西医结合、生物学、生物医学工程、药学、中药学、特种医学、医学技术、护理学可跨学科报考。数学、统计学、计算机科学与技术、应用经济学中的经济统计学可跨学科报考卫生统计学方向的博士研究生。</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100700药学学术学位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报考药学学术学位博士，硕士毕业专业应相同或相近。硕士为基础医学类、临床医学类、化学类、生物科学类、材料类专业可跨学科报考。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100800中药学学术学位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报考中药学学术学位博士，硕士毕业专业应相同或相近。硕士为药学类、中医学类或临床医学类专业可跨学科报考。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100900特种医学学术学位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报考特种医学学术学位博士人员，硕士毕业专业应相同或相近，硕士为基础医学、临床医学、生物学、生物医学工程、预防医学、心理学、信息科学、材料科学专业可跨一级学科报考。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left"/>
        <w:textAlignment w:val="auto"/>
        <w:rPr>
          <w:rFonts w:ascii="Times New Roman" w:hAnsi="Times New Roman" w:eastAsia="黑体" w:cs="Times New Roman"/>
          <w:kern w:val="2"/>
          <w:sz w:val="30"/>
          <w:szCs w:val="30"/>
          <w:highlight w:val="none"/>
        </w:rPr>
      </w:pPr>
      <w:r>
        <w:rPr>
          <w:rFonts w:ascii="Times New Roman" w:hAnsi="Times New Roman" w:eastAsia="黑体" w:cs="Times New Roman"/>
          <w:bCs/>
          <w:kern w:val="2"/>
          <w:sz w:val="32"/>
          <w:szCs w:val="32"/>
          <w:highlight w:val="none"/>
        </w:rPr>
        <w:t>101100护理学学术学位</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30"/>
          <w:szCs w:val="30"/>
          <w:highlight w:val="none"/>
        </w:rPr>
        <w:t>报考护理学学术学位博士，硕士毕业专业应相同或相近。</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120400公共管理</w:t>
      </w:r>
      <w:r>
        <w:rPr>
          <w:rFonts w:hint="eastAsia" w:ascii="Times New Roman" w:hAnsi="Times New Roman" w:eastAsia="黑体" w:cs="Times New Roman"/>
          <w:bCs/>
          <w:kern w:val="2"/>
          <w:sz w:val="32"/>
          <w:szCs w:val="32"/>
          <w:highlight w:val="none"/>
          <w:lang w:val="en-US" w:eastAsia="zh-CN"/>
        </w:rPr>
        <w:t>学</w:t>
      </w:r>
      <w:r>
        <w:rPr>
          <w:rFonts w:ascii="Times New Roman" w:hAnsi="Times New Roman" w:eastAsia="黑体" w:cs="Times New Roman"/>
          <w:bCs/>
          <w:kern w:val="2"/>
          <w:sz w:val="32"/>
          <w:szCs w:val="32"/>
          <w:highlight w:val="none"/>
        </w:rPr>
        <w:t>学术学位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ascii="Times New Roman" w:hAnsi="Times New Roman" w:eastAsia="仿宋_GB2312" w:cs="Times New Roman"/>
          <w:kern w:val="0"/>
          <w:sz w:val="30"/>
          <w:szCs w:val="30"/>
          <w:highlight w:val="none"/>
        </w:rPr>
      </w:pPr>
      <w:r>
        <w:rPr>
          <w:rFonts w:ascii="Times New Roman" w:hAnsi="Times New Roman" w:eastAsia="仿宋_GB2312" w:cs="Times New Roman"/>
          <w:kern w:val="0"/>
          <w:sz w:val="30"/>
          <w:szCs w:val="30"/>
          <w:highlight w:val="none"/>
        </w:rPr>
        <w:t>报考公共管理</w:t>
      </w:r>
      <w:r>
        <w:rPr>
          <w:rFonts w:hint="eastAsia" w:ascii="Times New Roman" w:hAnsi="Times New Roman" w:eastAsia="仿宋_GB2312" w:cs="Times New Roman"/>
          <w:kern w:val="0"/>
          <w:sz w:val="30"/>
          <w:szCs w:val="30"/>
          <w:highlight w:val="none"/>
          <w:lang w:val="en-US" w:eastAsia="zh-CN"/>
        </w:rPr>
        <w:t>学</w:t>
      </w:r>
      <w:r>
        <w:rPr>
          <w:rFonts w:ascii="Times New Roman" w:hAnsi="Times New Roman" w:eastAsia="仿宋_GB2312" w:cs="Times New Roman"/>
          <w:kern w:val="0"/>
          <w:sz w:val="30"/>
          <w:szCs w:val="30"/>
          <w:highlight w:val="none"/>
        </w:rPr>
        <w:t>学术学位博士，硕士专业应相同或相近，管理学、经济学、法学、教育学、军事学、医学等6大学科门类下属专业均可报考。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hint="default" w:ascii="Times New Roman" w:hAnsi="Times New Roman" w:eastAsia="黑体" w:cs="Times New Roman"/>
          <w:bCs/>
          <w:kern w:val="2"/>
          <w:sz w:val="32"/>
          <w:szCs w:val="32"/>
          <w:highlight w:val="none"/>
          <w:lang w:val="en-US" w:eastAsia="zh-CN"/>
        </w:rPr>
      </w:pPr>
      <w:r>
        <w:rPr>
          <w:rFonts w:hint="eastAsia" w:ascii="Times New Roman" w:hAnsi="Times New Roman" w:eastAsia="黑体" w:cs="Times New Roman"/>
          <w:bCs/>
          <w:kern w:val="2"/>
          <w:sz w:val="32"/>
          <w:szCs w:val="32"/>
          <w:highlight w:val="none"/>
          <w:lang w:val="en-US" w:eastAsia="zh-CN"/>
        </w:rPr>
        <w:t>086000生物与医药专业学位</w:t>
      </w:r>
    </w:p>
    <w:p>
      <w:pPr>
        <w:keepNext w:val="0"/>
        <w:keepLines w:val="0"/>
        <w:pageBreakBefore w:val="0"/>
        <w:widowControl w:val="0"/>
        <w:kinsoku/>
        <w:wordWrap/>
        <w:overflowPunct/>
        <w:topLinePunct w:val="0"/>
        <w:autoSpaceDE/>
        <w:autoSpaceDN/>
        <w:bidi w:val="0"/>
        <w:spacing w:line="560" w:lineRule="exact"/>
        <w:ind w:right="0" w:rightChars="0" w:firstLine="600" w:firstLineChars="200"/>
        <w:textAlignment w:val="auto"/>
        <w:rPr>
          <w:rFonts w:hint="eastAsia" w:ascii="Times New Roman" w:hAnsi="Times New Roman" w:eastAsia="仿宋_GB2312" w:cs="Times New Roman"/>
          <w:kern w:val="0"/>
          <w:sz w:val="24"/>
          <w:szCs w:val="24"/>
          <w:highlight w:val="none"/>
          <w:lang w:eastAsia="zh-CN"/>
        </w:rPr>
      </w:pPr>
      <w:r>
        <w:rPr>
          <w:rFonts w:hint="eastAsia" w:ascii="Times New Roman" w:hAnsi="Times New Roman" w:eastAsia="仿宋_GB2312" w:cs="Times New Roman"/>
          <w:kern w:val="0"/>
          <w:sz w:val="30"/>
          <w:szCs w:val="30"/>
          <w:highlight w:val="none"/>
        </w:rPr>
        <w:t>报考</w:t>
      </w:r>
      <w:r>
        <w:rPr>
          <w:rFonts w:hint="eastAsia" w:ascii="Times New Roman" w:hAnsi="Times New Roman" w:eastAsia="仿宋_GB2312" w:cs="Times New Roman"/>
          <w:kern w:val="0"/>
          <w:sz w:val="30"/>
          <w:szCs w:val="30"/>
          <w:highlight w:val="none"/>
          <w:lang w:val="en-US" w:eastAsia="zh-CN"/>
        </w:rPr>
        <w:t>生物与医药专业学位博士</w:t>
      </w:r>
      <w:r>
        <w:rPr>
          <w:rFonts w:hint="eastAsia" w:ascii="Times New Roman" w:hAnsi="Times New Roman" w:eastAsia="仿宋_GB2312" w:cs="Times New Roman"/>
          <w:kern w:val="0"/>
          <w:sz w:val="30"/>
          <w:szCs w:val="30"/>
          <w:highlight w:val="none"/>
        </w:rPr>
        <w:t>，</w:t>
      </w:r>
      <w:r>
        <w:rPr>
          <w:rFonts w:ascii="Times New Roman" w:hAnsi="Times New Roman" w:eastAsia="仿宋_GB2312" w:cs="Times New Roman"/>
          <w:kern w:val="0"/>
          <w:sz w:val="30"/>
          <w:szCs w:val="30"/>
          <w:highlight w:val="none"/>
        </w:rPr>
        <w:t>硕士专业应相同或相近</w:t>
      </w:r>
      <w:r>
        <w:rPr>
          <w:rFonts w:hint="eastAsia" w:ascii="Times New Roman" w:hAnsi="Times New Roman" w:eastAsia="仿宋_GB2312" w:cs="Times New Roman"/>
          <w:kern w:val="0"/>
          <w:sz w:val="30"/>
          <w:szCs w:val="30"/>
          <w:highlight w:val="none"/>
          <w:lang w:eastAsia="zh-CN"/>
        </w:rPr>
        <w:t>。</w:t>
      </w:r>
      <w:r>
        <w:rPr>
          <w:rFonts w:ascii="Times New Roman" w:hAnsi="Times New Roman" w:eastAsia="仿宋_GB2312" w:cs="Times New Roman"/>
          <w:kern w:val="0"/>
          <w:sz w:val="30"/>
          <w:szCs w:val="30"/>
          <w:highlight w:val="none"/>
        </w:rPr>
        <w:t>硕士为</w:t>
      </w:r>
      <w:r>
        <w:rPr>
          <w:rFonts w:hint="eastAsia" w:ascii="Times New Roman" w:hAnsi="Times New Roman" w:eastAsia="仿宋_GB2312" w:cs="Times New Roman"/>
          <w:kern w:val="0"/>
          <w:sz w:val="30"/>
          <w:szCs w:val="30"/>
          <w:highlight w:val="none"/>
        </w:rPr>
        <w:t>0710生物科学类</w:t>
      </w:r>
      <w:r>
        <w:rPr>
          <w:rFonts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rPr>
        <w:t>0813化工与制药</w:t>
      </w:r>
      <w:r>
        <w:rPr>
          <w:rFonts w:ascii="Times New Roman" w:hAnsi="Times New Roman" w:eastAsia="仿宋_GB2312" w:cs="Times New Roman"/>
          <w:kern w:val="0"/>
          <w:sz w:val="30"/>
          <w:szCs w:val="30"/>
          <w:highlight w:val="none"/>
        </w:rPr>
        <w:t>类、</w:t>
      </w:r>
      <w:r>
        <w:rPr>
          <w:rFonts w:hint="eastAsia" w:ascii="Times New Roman" w:hAnsi="Times New Roman" w:eastAsia="仿宋_GB2312" w:cs="Times New Roman"/>
          <w:kern w:val="0"/>
          <w:sz w:val="30"/>
          <w:szCs w:val="30"/>
          <w:highlight w:val="none"/>
        </w:rPr>
        <w:t>0826生物医学工程</w:t>
      </w:r>
      <w:r>
        <w:rPr>
          <w:rFonts w:ascii="Times New Roman" w:hAnsi="Times New Roman" w:eastAsia="仿宋_GB2312" w:cs="Times New Roman"/>
          <w:kern w:val="0"/>
          <w:sz w:val="30"/>
          <w:szCs w:val="30"/>
          <w:highlight w:val="none"/>
        </w:rPr>
        <w:t>类、</w:t>
      </w:r>
      <w:r>
        <w:rPr>
          <w:rFonts w:hint="eastAsia" w:ascii="Times New Roman" w:hAnsi="Times New Roman" w:eastAsia="仿宋_GB2312" w:cs="Times New Roman"/>
          <w:kern w:val="0"/>
          <w:sz w:val="30"/>
          <w:szCs w:val="30"/>
          <w:highlight w:val="none"/>
        </w:rPr>
        <w:t>0830生物工程类</w:t>
      </w:r>
      <w:r>
        <w:rPr>
          <w:rFonts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rPr>
        <w:t>1001基础医学类</w:t>
      </w:r>
      <w:r>
        <w:rPr>
          <w:rFonts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rPr>
        <w:t>1002临床医学类</w:t>
      </w:r>
      <w:r>
        <w:rPr>
          <w:rFonts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rPr>
        <w:t>1007药学类</w:t>
      </w:r>
      <w:r>
        <w:rPr>
          <w:rFonts w:ascii="Times New Roman" w:hAnsi="Times New Roman" w:eastAsia="仿宋_GB2312" w:cs="Times New Roman"/>
          <w:kern w:val="0"/>
          <w:sz w:val="30"/>
          <w:szCs w:val="30"/>
          <w:highlight w:val="none"/>
        </w:rPr>
        <w:t>、</w:t>
      </w:r>
      <w:r>
        <w:rPr>
          <w:rFonts w:hint="eastAsia" w:ascii="Times New Roman" w:hAnsi="Times New Roman" w:eastAsia="仿宋_GB2312" w:cs="Times New Roman"/>
          <w:kern w:val="0"/>
          <w:sz w:val="30"/>
          <w:szCs w:val="30"/>
          <w:highlight w:val="none"/>
        </w:rPr>
        <w:t>1010医学</w:t>
      </w:r>
      <w:r>
        <w:rPr>
          <w:rFonts w:ascii="Times New Roman" w:hAnsi="Times New Roman" w:eastAsia="仿宋_GB2312" w:cs="Times New Roman"/>
          <w:kern w:val="0"/>
          <w:sz w:val="30"/>
          <w:szCs w:val="30"/>
          <w:highlight w:val="none"/>
        </w:rPr>
        <w:t>技术类专业可跨学科报考。</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left"/>
        <w:textAlignment w:val="auto"/>
        <w:rPr>
          <w:rFonts w:ascii="Times New Roman" w:hAnsi="Times New Roman" w:eastAsia="黑体" w:cs="Times New Roman"/>
          <w:kern w:val="2"/>
          <w:sz w:val="30"/>
          <w:szCs w:val="30"/>
          <w:highlight w:val="none"/>
        </w:rPr>
      </w:pPr>
      <w:r>
        <w:rPr>
          <w:rFonts w:ascii="Times New Roman" w:hAnsi="Times New Roman" w:eastAsia="黑体" w:cs="Times New Roman"/>
          <w:bCs/>
          <w:kern w:val="2"/>
          <w:sz w:val="32"/>
          <w:szCs w:val="32"/>
          <w:highlight w:val="none"/>
        </w:rPr>
        <w:t>105100临床医学专业学位</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00" w:firstLineChars="200"/>
        <w:textAlignment w:val="auto"/>
        <w:rPr>
          <w:rFonts w:ascii="Times New Roman" w:hAnsi="Times New Roman" w:eastAsia="仿宋_GB2312" w:cs="Times New Roman"/>
          <w:sz w:val="24"/>
          <w:szCs w:val="24"/>
          <w:highlight w:val="none"/>
        </w:rPr>
      </w:pPr>
      <w:r>
        <w:rPr>
          <w:rFonts w:hint="eastAsia" w:ascii="Times New Roman" w:hAnsi="Times New Roman" w:eastAsia="仿宋_GB2312" w:cs="Times New Roman"/>
          <w:kern w:val="0"/>
          <w:sz w:val="30"/>
          <w:szCs w:val="30"/>
          <w:highlight w:val="none"/>
        </w:rPr>
        <w:t>报考临床医学专业学位</w:t>
      </w:r>
      <w:r>
        <w:rPr>
          <w:rFonts w:hint="eastAsia" w:ascii="Times New Roman" w:hAnsi="Times New Roman" w:eastAsia="仿宋_GB2312" w:cs="Times New Roman"/>
          <w:kern w:val="0"/>
          <w:sz w:val="30"/>
          <w:szCs w:val="30"/>
          <w:highlight w:val="none"/>
          <w:lang w:val="en-US" w:eastAsia="zh-CN"/>
        </w:rPr>
        <w:t>博士</w:t>
      </w:r>
      <w:r>
        <w:rPr>
          <w:rFonts w:hint="eastAsia" w:ascii="Times New Roman" w:hAnsi="Times New Roman" w:eastAsia="仿宋_GB2312" w:cs="Times New Roman"/>
          <w:kern w:val="0"/>
          <w:sz w:val="30"/>
          <w:szCs w:val="30"/>
          <w:highlight w:val="none"/>
        </w:rPr>
        <w:t>，本科和硕士均须为临床医学</w:t>
      </w:r>
      <w:r>
        <w:rPr>
          <w:rFonts w:hint="eastAsia" w:ascii="Times New Roman" w:hAnsi="Times New Roman" w:eastAsia="仿宋_GB2312" w:cs="Times New Roman"/>
          <w:kern w:val="0"/>
          <w:sz w:val="30"/>
          <w:szCs w:val="30"/>
          <w:highlight w:val="none"/>
          <w:lang w:val="en-US" w:eastAsia="zh-CN"/>
        </w:rPr>
        <w:t>专业</w:t>
      </w:r>
      <w:r>
        <w:rPr>
          <w:rFonts w:hint="eastAsia" w:ascii="Times New Roman" w:hAnsi="Times New Roman" w:eastAsia="仿宋_GB2312" w:cs="Times New Roman"/>
          <w:kern w:val="0"/>
          <w:sz w:val="30"/>
          <w:szCs w:val="30"/>
          <w:highlight w:val="none"/>
        </w:rPr>
        <w:t>（本科须为全日制），并取得执业医师资格证书。</w:t>
      </w:r>
    </w:p>
    <w:p>
      <w:pPr>
        <w:keepNext w:val="0"/>
        <w:keepLines w:val="0"/>
        <w:pageBreakBefore w:val="0"/>
        <w:widowControl w:val="0"/>
        <w:kinsoku/>
        <w:wordWrap/>
        <w:overflowPunct/>
        <w:topLinePunct w:val="0"/>
        <w:autoSpaceDE/>
        <w:autoSpaceDN/>
        <w:bidi w:val="0"/>
        <w:spacing w:line="560" w:lineRule="exact"/>
        <w:ind w:right="0" w:rightChars="0"/>
        <w:textAlignment w:val="auto"/>
        <w:rPr>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left"/>
        <w:textAlignment w:val="auto"/>
        <w:rPr>
          <w:rFonts w:ascii="Times New Roman" w:hAnsi="Times New Roman" w:eastAsia="黑体" w:cs="Times New Roman"/>
          <w:bCs/>
          <w:kern w:val="2"/>
          <w:sz w:val="32"/>
          <w:szCs w:val="32"/>
          <w:highlight w:val="none"/>
        </w:rPr>
      </w:pPr>
      <w:r>
        <w:rPr>
          <w:rFonts w:ascii="Times New Roman" w:hAnsi="Times New Roman" w:eastAsia="黑体" w:cs="Times New Roman"/>
          <w:bCs/>
          <w:kern w:val="2"/>
          <w:sz w:val="32"/>
          <w:szCs w:val="32"/>
          <w:highlight w:val="none"/>
        </w:rPr>
        <w:t>105200口腔医学专业学位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textAlignment w:val="auto"/>
        <w:rPr>
          <w:rFonts w:hint="eastAsia" w:ascii="Times New Roman" w:hAnsi="Times New Roman" w:eastAsia="仿宋_GB2312" w:cs="Times New Roman"/>
          <w:kern w:val="0"/>
          <w:sz w:val="30"/>
          <w:szCs w:val="30"/>
          <w:highlight w:val="none"/>
        </w:rPr>
      </w:pPr>
      <w:r>
        <w:rPr>
          <w:rFonts w:hint="eastAsia" w:ascii="Times New Roman" w:hAnsi="Times New Roman" w:eastAsia="仿宋_GB2312" w:cs="Times New Roman"/>
          <w:kern w:val="0"/>
          <w:sz w:val="30"/>
          <w:szCs w:val="30"/>
          <w:highlight w:val="none"/>
        </w:rPr>
        <w:t>报考</w:t>
      </w:r>
      <w:r>
        <w:rPr>
          <w:rFonts w:hint="eastAsia" w:ascii="Times New Roman" w:hAnsi="Times New Roman" w:eastAsia="仿宋_GB2312" w:cs="Times New Roman"/>
          <w:kern w:val="0"/>
          <w:sz w:val="30"/>
          <w:szCs w:val="30"/>
          <w:highlight w:val="none"/>
          <w:lang w:val="en-US" w:eastAsia="zh-CN"/>
        </w:rPr>
        <w:t>口腔</w:t>
      </w:r>
      <w:r>
        <w:rPr>
          <w:rFonts w:hint="eastAsia" w:ascii="Times New Roman" w:hAnsi="Times New Roman" w:eastAsia="仿宋_GB2312" w:cs="Times New Roman"/>
          <w:kern w:val="0"/>
          <w:sz w:val="30"/>
          <w:szCs w:val="30"/>
          <w:highlight w:val="none"/>
        </w:rPr>
        <w:t>医学专业学位博士，本科和硕士均须为口腔医学专业（本科须为全日制），并取得执业医师资格证书。</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480" w:firstLineChars="200"/>
        <w:textAlignment w:val="auto"/>
        <w:rPr>
          <w:rFonts w:hint="eastAsia" w:ascii="Times New Roman" w:hAnsi="Times New Roman" w:eastAsia="仿宋_GB2312" w:cs="Times New Roman"/>
          <w:sz w:val="24"/>
          <w:szCs w:val="24"/>
          <w:highlight w:val="none"/>
        </w:rPr>
      </w:pPr>
    </w:p>
    <w:sectPr>
      <w:head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F1"/>
    <w:rsid w:val="00013DFC"/>
    <w:rsid w:val="000151FA"/>
    <w:rsid w:val="00033791"/>
    <w:rsid w:val="000C0C97"/>
    <w:rsid w:val="00136A16"/>
    <w:rsid w:val="002E7C08"/>
    <w:rsid w:val="003E60B8"/>
    <w:rsid w:val="004B0DDD"/>
    <w:rsid w:val="005322C5"/>
    <w:rsid w:val="005A287B"/>
    <w:rsid w:val="005B1405"/>
    <w:rsid w:val="006A50E7"/>
    <w:rsid w:val="006C0739"/>
    <w:rsid w:val="00765B8A"/>
    <w:rsid w:val="00775565"/>
    <w:rsid w:val="007B650F"/>
    <w:rsid w:val="00815642"/>
    <w:rsid w:val="008162C6"/>
    <w:rsid w:val="009C2D12"/>
    <w:rsid w:val="00A773C1"/>
    <w:rsid w:val="00A861C7"/>
    <w:rsid w:val="00B47723"/>
    <w:rsid w:val="00B52C0A"/>
    <w:rsid w:val="00B84FC1"/>
    <w:rsid w:val="00CD78EC"/>
    <w:rsid w:val="00D67EEA"/>
    <w:rsid w:val="00D97EDC"/>
    <w:rsid w:val="00DD656E"/>
    <w:rsid w:val="00E83C4C"/>
    <w:rsid w:val="00F03592"/>
    <w:rsid w:val="00F723C0"/>
    <w:rsid w:val="00FD2DF1"/>
    <w:rsid w:val="02486E98"/>
    <w:rsid w:val="06646FD6"/>
    <w:rsid w:val="0975119A"/>
    <w:rsid w:val="13266D2E"/>
    <w:rsid w:val="145F3260"/>
    <w:rsid w:val="18A84640"/>
    <w:rsid w:val="1B5858B5"/>
    <w:rsid w:val="208302FA"/>
    <w:rsid w:val="21370C44"/>
    <w:rsid w:val="26415CA9"/>
    <w:rsid w:val="2B726905"/>
    <w:rsid w:val="2E9E123B"/>
    <w:rsid w:val="38BD4688"/>
    <w:rsid w:val="3A6154BB"/>
    <w:rsid w:val="3B5010EF"/>
    <w:rsid w:val="43D23F8D"/>
    <w:rsid w:val="4AF113A3"/>
    <w:rsid w:val="4EF74DC3"/>
    <w:rsid w:val="4F6D3DC4"/>
    <w:rsid w:val="54B35714"/>
    <w:rsid w:val="6B971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10"/>
      <w:sz w:val="21"/>
      <w:szCs w:val="21"/>
      <w:lang w:val="en-US" w:eastAsia="zh-CN" w:bidi="ar-SA"/>
    </w:rPr>
  </w:style>
  <w:style w:type="paragraph" w:styleId="2">
    <w:name w:val="heading 4"/>
    <w:basedOn w:val="1"/>
    <w:next w:val="1"/>
    <w:link w:val="1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0"/>
    <w:pPr>
      <w:spacing w:after="120"/>
    </w:pPr>
  </w:style>
  <w:style w:type="paragraph" w:styleId="4">
    <w:name w:val="Balloon Text"/>
    <w:basedOn w:val="1"/>
    <w:link w:val="20"/>
    <w:qFormat/>
    <w:uiPriority w:val="0"/>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uiPriority w:val="20"/>
    <w:rPr>
      <w:i/>
      <w:iCs/>
    </w:rPr>
  </w:style>
  <w:style w:type="character" w:styleId="12">
    <w:name w:val="annotation reference"/>
    <w:unhideWhenUsed/>
    <w:qFormat/>
    <w:uiPriority w:val="99"/>
    <w:rPr>
      <w:sz w:val="21"/>
      <w:szCs w:val="21"/>
    </w:rPr>
  </w:style>
  <w:style w:type="character" w:customStyle="1" w:styleId="13">
    <w:name w:val="页眉 Char"/>
    <w:basedOn w:val="10"/>
    <w:link w:val="6"/>
    <w:qFormat/>
    <w:uiPriority w:val="0"/>
    <w:rPr>
      <w:sz w:val="18"/>
      <w:szCs w:val="18"/>
    </w:rPr>
  </w:style>
  <w:style w:type="character" w:customStyle="1" w:styleId="14">
    <w:name w:val="页脚 Char"/>
    <w:basedOn w:val="10"/>
    <w:link w:val="5"/>
    <w:qFormat/>
    <w:uiPriority w:val="99"/>
    <w:rPr>
      <w:sz w:val="18"/>
      <w:szCs w:val="18"/>
    </w:rPr>
  </w:style>
  <w:style w:type="character" w:customStyle="1" w:styleId="15">
    <w:name w:val="标题 4 Char"/>
    <w:basedOn w:val="10"/>
    <w:link w:val="2"/>
    <w:qFormat/>
    <w:uiPriority w:val="9"/>
    <w:rPr>
      <w:rFonts w:asciiTheme="majorHAnsi" w:hAnsiTheme="majorHAnsi" w:eastAsiaTheme="majorEastAsia" w:cstheme="majorBidi"/>
      <w:b/>
      <w:bCs/>
      <w:kern w:val="10"/>
      <w:sz w:val="28"/>
      <w:szCs w:val="28"/>
    </w:rPr>
  </w:style>
  <w:style w:type="character" w:customStyle="1" w:styleId="16">
    <w:name w:val="正文文本 Char"/>
    <w:basedOn w:val="10"/>
    <w:link w:val="3"/>
    <w:qFormat/>
    <w:uiPriority w:val="0"/>
    <w:rPr>
      <w:rFonts w:ascii="Calibri" w:hAnsi="Calibri" w:eastAsia="宋体" w:cs="Calibri"/>
      <w:kern w:val="10"/>
      <w:szCs w:val="21"/>
    </w:rPr>
  </w:style>
  <w:style w:type="paragraph" w:customStyle="1" w:styleId="17">
    <w:name w:val="我的正文"/>
    <w:basedOn w:val="1"/>
    <w:qFormat/>
    <w:uiPriority w:val="0"/>
    <w:pPr>
      <w:spacing w:line="360" w:lineRule="auto"/>
      <w:ind w:firstLine="560" w:firstLineChars="200"/>
    </w:pPr>
    <w:rPr>
      <w:rFonts w:ascii="Times New Roman" w:hAnsi="Times New Roman" w:eastAsia="仿宋_GB2312" w:cs="Times New Roman"/>
      <w:kern w:val="2"/>
      <w:sz w:val="32"/>
      <w:szCs w:val="32"/>
      <w:lang w:val="zh-CN"/>
    </w:rPr>
  </w:style>
  <w:style w:type="paragraph" w:styleId="18">
    <w:name w:val="List Paragraph"/>
    <w:basedOn w:val="1"/>
    <w:qFormat/>
    <w:uiPriority w:val="0"/>
    <w:pPr>
      <w:ind w:firstLine="420" w:firstLineChars="200"/>
    </w:pPr>
    <w:rPr>
      <w:rFonts w:ascii="等线" w:hAnsi="等线" w:eastAsia="等线" w:cs="Times New Roman"/>
      <w:kern w:val="2"/>
      <w:szCs w:val="24"/>
    </w:rPr>
  </w:style>
  <w:style w:type="paragraph" w:customStyle="1" w:styleId="19">
    <w:name w:val="列出段落1"/>
    <w:basedOn w:val="1"/>
    <w:qFormat/>
    <w:uiPriority w:val="0"/>
    <w:pPr>
      <w:ind w:firstLine="420" w:firstLineChars="200"/>
    </w:pPr>
    <w:rPr>
      <w:rFonts w:cs="Times New Roman"/>
      <w:kern w:val="2"/>
    </w:rPr>
  </w:style>
  <w:style w:type="character" w:customStyle="1" w:styleId="20">
    <w:name w:val="批注框文本 Char"/>
    <w:basedOn w:val="10"/>
    <w:link w:val="4"/>
    <w:qFormat/>
    <w:uiPriority w:val="0"/>
    <w:rPr>
      <w:rFonts w:ascii="Calibri" w:hAnsi="Calibri" w:eastAsia="宋体" w:cs="Calibri"/>
      <w:kern w:val="1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378</Words>
  <Characters>2158</Characters>
  <Lines>17</Lines>
  <Paragraphs>5</Paragraphs>
  <TotalTime>31</TotalTime>
  <ScaleCrop>false</ScaleCrop>
  <LinksUpToDate>false</LinksUpToDate>
  <CharactersWithSpaces>2531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2023-10-25T06:54:00Z</dcterms:created>
  <dc:creator>Windows User</dc:creator>
  <cp:lastModifiedBy>lenovo</cp:lastModifiedBy>
  <cp:lastPrinted>2024-11-07T11:03:00Z</cp:lastPrinted>
  <dcterms:modified xsi:type="dcterms:W3CDTF">2024-11-08T02:24:48Z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689F57BF2F0845E39FA409495FDF3093</vt:lpwstr>
  </property>
</Properties>
</file>