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24120">
      <w:pPr>
        <w:jc w:val="center"/>
        <w:rPr>
          <w:rFonts w:ascii="华文中宋" w:hAnsi="华文中宋" w:eastAsia="华文中宋"/>
          <w:sz w:val="32"/>
          <w:szCs w:val="32"/>
        </w:rPr>
      </w:pPr>
      <w:r>
        <w:rPr>
          <w:rFonts w:hint="eastAsia" w:ascii="华文中宋" w:hAnsi="华文中宋" w:eastAsia="华文中宋"/>
          <w:sz w:val="32"/>
          <w:szCs w:val="32"/>
        </w:rPr>
        <w:t>辽宁大学20</w:t>
      </w:r>
      <w:r>
        <w:rPr>
          <w:rFonts w:hint="eastAsia" w:ascii="华文中宋" w:hAnsi="华文中宋" w:eastAsia="华文中宋"/>
          <w:sz w:val="32"/>
          <w:szCs w:val="32"/>
          <w:lang w:val="en-US" w:eastAsia="zh-CN"/>
        </w:rPr>
        <w:t>25</w:t>
      </w:r>
      <w:r>
        <w:rPr>
          <w:rFonts w:hint="eastAsia" w:ascii="华文中宋" w:hAnsi="华文中宋" w:eastAsia="华文中宋"/>
          <w:sz w:val="32"/>
          <w:szCs w:val="32"/>
        </w:rPr>
        <w:t>年招收攻读博士学位研究生(普通招考方式)</w:t>
      </w:r>
    </w:p>
    <w:p w14:paraId="6E901427">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3948EBC9">
      <w:pPr>
        <w:rPr>
          <w:rFonts w:ascii="仿宋" w:hAnsi="仿宋" w:eastAsia="仿宋"/>
          <w:sz w:val="28"/>
          <w:szCs w:val="28"/>
        </w:rPr>
      </w:pPr>
    </w:p>
    <w:p w14:paraId="044FA2D4">
      <w:pPr>
        <w:rPr>
          <w:rFonts w:hint="default" w:ascii="仿宋" w:hAnsi="仿宋" w:eastAsia="仿宋"/>
          <w:sz w:val="28"/>
          <w:szCs w:val="28"/>
          <w:lang w:val="en-US" w:eastAsia="zh-CN"/>
        </w:rPr>
      </w:pPr>
      <w:r>
        <w:rPr>
          <w:rFonts w:hint="eastAsia" w:ascii="仿宋" w:hAnsi="仿宋" w:eastAsia="仿宋"/>
          <w:sz w:val="28"/>
          <w:szCs w:val="28"/>
        </w:rPr>
        <w:t>科目代码：</w:t>
      </w:r>
      <w:r>
        <w:rPr>
          <w:rFonts w:hint="eastAsia" w:ascii="仿宋" w:hAnsi="仿宋" w:eastAsia="仿宋"/>
          <w:sz w:val="28"/>
          <w:szCs w:val="28"/>
          <w:lang w:val="en-US" w:eastAsia="zh-CN"/>
        </w:rPr>
        <w:t>3053</w:t>
      </w:r>
    </w:p>
    <w:p w14:paraId="68AFACFE">
      <w:pPr>
        <w:rPr>
          <w:rFonts w:ascii="仿宋" w:hAnsi="仿宋" w:eastAsia="仿宋"/>
          <w:sz w:val="28"/>
          <w:szCs w:val="28"/>
        </w:rPr>
      </w:pPr>
      <w:r>
        <w:rPr>
          <w:rFonts w:hint="eastAsia" w:ascii="仿宋" w:hAnsi="仿宋" w:eastAsia="仿宋"/>
          <w:sz w:val="28"/>
          <w:szCs w:val="28"/>
        </w:rPr>
        <w:t>科目名称：</w:t>
      </w:r>
      <w:r>
        <w:rPr>
          <w:rFonts w:hint="eastAsia" w:ascii="仿宋" w:hAnsi="仿宋" w:eastAsia="仿宋"/>
          <w:sz w:val="28"/>
          <w:szCs w:val="28"/>
          <w:lang w:val="en-US" w:eastAsia="zh-CN"/>
        </w:rPr>
        <w:t>媒介批评</w:t>
      </w:r>
      <w:r>
        <w:rPr>
          <w:rFonts w:ascii="仿宋" w:hAnsi="仿宋" w:eastAsia="仿宋"/>
          <w:sz w:val="28"/>
          <w:szCs w:val="28"/>
        </w:rPr>
        <w:t xml:space="preserve"> </w:t>
      </w:r>
    </w:p>
    <w:p w14:paraId="67FD4DE5">
      <w:pPr>
        <w:rPr>
          <w:rFonts w:hint="default" w:ascii="仿宋" w:hAnsi="仿宋" w:eastAsia="仿宋"/>
          <w:sz w:val="28"/>
          <w:szCs w:val="28"/>
          <w:lang w:val="en-US" w:eastAsia="zh-CN"/>
        </w:rPr>
      </w:pPr>
      <w:r>
        <w:rPr>
          <w:rFonts w:hint="eastAsia" w:ascii="仿宋" w:hAnsi="仿宋" w:eastAsia="仿宋"/>
          <w:sz w:val="28"/>
          <w:szCs w:val="28"/>
        </w:rPr>
        <w:t>满分：</w:t>
      </w:r>
      <w:r>
        <w:rPr>
          <w:rFonts w:hint="eastAsia" w:ascii="仿宋" w:hAnsi="仿宋" w:eastAsia="仿宋"/>
          <w:sz w:val="28"/>
          <w:szCs w:val="28"/>
          <w:lang w:val="en-US" w:eastAsia="zh-CN"/>
        </w:rPr>
        <w:t>100分</w:t>
      </w:r>
    </w:p>
    <w:p w14:paraId="47F19C4A">
      <w:pPr>
        <w:adjustRightInd w:val="0"/>
        <w:snapToGrid w:val="0"/>
        <w:spacing w:line="300" w:lineRule="auto"/>
        <w:ind w:right="-17"/>
        <w:outlineLvl w:val="0"/>
        <w:rPr>
          <w:rFonts w:hint="eastAsia" w:ascii="仿宋_GB2312" w:hAnsi="华文中宋" w:eastAsia="仿宋_GB2312"/>
          <w:b/>
          <w:sz w:val="24"/>
          <w:szCs w:val="24"/>
        </w:rPr>
      </w:pPr>
    </w:p>
    <w:p w14:paraId="34CD82D3">
      <w:pPr>
        <w:adjustRightInd w:val="0"/>
        <w:snapToGrid w:val="0"/>
        <w:spacing w:line="300" w:lineRule="auto"/>
        <w:ind w:right="-17"/>
        <w:outlineLvl w:val="0"/>
        <w:rPr>
          <w:rFonts w:ascii="宋体" w:hAnsi="宋体"/>
          <w:b/>
          <w:sz w:val="24"/>
          <w:szCs w:val="24"/>
        </w:rPr>
      </w:pPr>
      <w:r>
        <w:rPr>
          <w:rFonts w:hint="eastAsia" w:ascii="仿宋_GB2312" w:hAnsi="华文中宋" w:eastAsia="仿宋_GB2312"/>
          <w:b/>
          <w:sz w:val="24"/>
          <w:szCs w:val="24"/>
        </w:rPr>
        <w:t>一、考试的总体要求</w:t>
      </w:r>
    </w:p>
    <w:p w14:paraId="5DE02ECC">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《媒介批评》考试大纲适用于报考辽宁大学文学传播与媒介文化专业的博士研究生招生考试。</w:t>
      </w:r>
    </w:p>
    <w:p w14:paraId="1452420B">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的主要内容包括从中国古代邸报到当代大众传媒的评价活动以及在这段悠悠历史长河中出现的历史人物的媒介批评活动、批评言论和批评思想等知识范畴。要求考生在熟练掌握中外新闻传播事业的历史演化、发展脉络的基础上，从宏观上分析媒介的性质和传播制度，把握官方对媒体的管制和媒体本身的发展规律两条主线，同时从微观层面瞄准传播内容和传播主体，考察重要新闻事件中媒体人物的批评言论和批评思想，多角度认识中国媒介批评的演变过程，从而进一步探讨其背后的社会动因、内在逻辑及发展趋势。考生还应该了解媒介批评领域的热点事件及传媒前沿现象，具有综合运用所学知识分析问题的能力。</w:t>
      </w:r>
    </w:p>
    <w:p w14:paraId="27F1232D">
      <w:pPr>
        <w:adjustRightInd w:val="0"/>
        <w:snapToGrid w:val="0"/>
        <w:spacing w:line="300" w:lineRule="auto"/>
        <w:ind w:right="-17" w:firstLine="403"/>
        <w:outlineLvl w:val="0"/>
        <w:rPr>
          <w:rFonts w:ascii="仿宋_GB2312" w:hAnsi="华文中宋" w:eastAsia="仿宋_GB2312"/>
          <w:sz w:val="24"/>
          <w:szCs w:val="24"/>
        </w:rPr>
      </w:pPr>
    </w:p>
    <w:p w14:paraId="3AB9CF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二、考试的内容</w:t>
      </w:r>
    </w:p>
    <w:p w14:paraId="6251F0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媒介批评理论：</w:t>
      </w:r>
    </w:p>
    <w:p w14:paraId="12A600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（一）媒介批评的主体、客体、载体和文本</w:t>
      </w:r>
    </w:p>
    <w:p w14:paraId="3CB45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（二）媒介批评的目的、任务、功能和效果</w:t>
      </w:r>
    </w:p>
    <w:p w14:paraId="59C1B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（三）媒介批评的流派及其理论</w:t>
      </w:r>
    </w:p>
    <w:p w14:paraId="520F0F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媒介批评的历史与发展：</w:t>
      </w:r>
    </w:p>
    <w:p w14:paraId="66A74A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（一）从邸报禁令到民国报灾</w:t>
      </w:r>
    </w:p>
    <w:p w14:paraId="023E1A36">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1.王朝对报纸的控制</w:t>
      </w:r>
    </w:p>
    <w:p w14:paraId="01352D3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2.外报的“格物致知”</w:t>
      </w:r>
    </w:p>
    <w:p w14:paraId="588E9A55">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3.早期国人办报的报业观</w:t>
      </w:r>
    </w:p>
    <w:p w14:paraId="280E76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（二）三民主义的宣传方略</w:t>
      </w:r>
    </w:p>
    <w:p w14:paraId="1E6379F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1.孙中山的先知先觉说</w:t>
      </w:r>
    </w:p>
    <w:p w14:paraId="75D91DB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2.于右任为民请命的办报观</w:t>
      </w:r>
    </w:p>
    <w:p w14:paraId="491FD1EE">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3.章士钊及其退出《民立报》</w:t>
      </w:r>
    </w:p>
    <w:p w14:paraId="0E7BACE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4.朱执信痛批报刊谬论</w:t>
      </w:r>
    </w:p>
    <w:p w14:paraId="2DC15D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（三）马克思主义的报刊思潮</w:t>
      </w:r>
    </w:p>
    <w:p w14:paraId="698DF4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1.陈独秀的办报立场</w:t>
      </w:r>
    </w:p>
    <w:p w14:paraId="3FE8A9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2.李大钊的新闻观</w:t>
      </w:r>
    </w:p>
    <w:p w14:paraId="6A3FF2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3.《新青年》的功绩与社会评价</w:t>
      </w:r>
    </w:p>
    <w:p w14:paraId="7441A6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4.劳工革命家的报刊思想</w:t>
      </w:r>
    </w:p>
    <w:p w14:paraId="5A20FA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5.对“赤化”宣传的杀戮</w:t>
      </w:r>
    </w:p>
    <w:p w14:paraId="48BEDF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（四）国统区的言论管制与新闻抗争</w:t>
      </w:r>
    </w:p>
    <w:p w14:paraId="2DCDC9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1.蒋介石的新闻控制</w:t>
      </w:r>
    </w:p>
    <w:p w14:paraId="58AF5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2.宣传要员的文宣管理</w:t>
      </w:r>
    </w:p>
    <w:p w14:paraId="2A00B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3.思想独裁下的重大报案</w:t>
      </w:r>
    </w:p>
    <w:p w14:paraId="5F81C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4.《大公报》的“四不”与夹缝生存</w:t>
      </w:r>
    </w:p>
    <w:p w14:paraId="2F9961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（五）民国知识界的报刊睿见</w:t>
      </w:r>
    </w:p>
    <w:p w14:paraId="6C4B13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1.新闻学者对报刊流弊的揭露</w:t>
      </w:r>
    </w:p>
    <w:p w14:paraId="71C163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2.蔡元培论报刊与新闻学理</w:t>
      </w:r>
    </w:p>
    <w:p w14:paraId="59202F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3.胡适报刊思想的多次转变</w:t>
      </w:r>
    </w:p>
    <w:p w14:paraId="7A0051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4.鲁迅对媒介时评的剖析</w:t>
      </w:r>
    </w:p>
    <w:p w14:paraId="4318E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（六）中共党报初期的批评与发展</w:t>
      </w:r>
    </w:p>
    <w:p w14:paraId="6BD66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1.党报职能与性质的确立</w:t>
      </w:r>
    </w:p>
    <w:p w14:paraId="466F6E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2.党报批评的机构与机制</w:t>
      </w:r>
    </w:p>
    <w:p w14:paraId="4CFFC7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3.党报批评的方式及其发展</w:t>
      </w:r>
    </w:p>
    <w:p w14:paraId="7D1626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（七）新中国媒介转型的思想冲突</w:t>
      </w:r>
    </w:p>
    <w:p w14:paraId="7F8AEE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1.建立媒介新体制的曲折探索</w:t>
      </w:r>
    </w:p>
    <w:p w14:paraId="5865CC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2.1956年党报的改革创新</w:t>
      </w:r>
    </w:p>
    <w:p w14:paraId="2A9516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3.国家高层领导的新闻思想</w:t>
      </w:r>
    </w:p>
    <w:p w14:paraId="3438EC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4.新闻机构主持者的新闻观念</w:t>
      </w:r>
    </w:p>
    <w:p w14:paraId="2C00A5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5.新闻报道的学术争鸣</w:t>
      </w:r>
    </w:p>
    <w:p w14:paraId="19AB3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6.政治运动中的媒介批判</w:t>
      </w:r>
    </w:p>
    <w:p w14:paraId="1125EC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（八）“文化大革命”中的媒介大批判</w:t>
      </w:r>
    </w:p>
    <w:p w14:paraId="726F5B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1.媒介大批判的发动</w:t>
      </w:r>
    </w:p>
    <w:p w14:paraId="30D332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2.媒介大批判的夺权阴谋</w:t>
      </w:r>
    </w:p>
    <w:p w14:paraId="660D41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3.媒介批判与反批判斗争</w:t>
      </w:r>
    </w:p>
    <w:p w14:paraId="4539CC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（九）改革开放后媒介批评的新生</w:t>
      </w:r>
    </w:p>
    <w:p w14:paraId="6CF96C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1.媒介批评兴起的新环境</w:t>
      </w:r>
    </w:p>
    <w:p w14:paraId="3FBF25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2.电影《苦恋》的批判风波</w:t>
      </w:r>
    </w:p>
    <w:p w14:paraId="5C0201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3.舆论监督的批评诉求</w:t>
      </w:r>
    </w:p>
    <w:p w14:paraId="49606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4.“媒介商品性”的批评与反批评</w:t>
      </w:r>
    </w:p>
    <w:p w14:paraId="660752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5.倡导“新闻专业主义”</w:t>
      </w:r>
    </w:p>
    <w:p w14:paraId="7D83DC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（十）台湾媒体与媒介批评的转向</w:t>
      </w:r>
    </w:p>
    <w:p w14:paraId="35FE5D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1.台湾报刊传统及其反日立场</w:t>
      </w:r>
    </w:p>
    <w:p w14:paraId="29322A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2.抗日战争胜利后的台湾媒体</w:t>
      </w:r>
    </w:p>
    <w:p w14:paraId="3BC37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3.报禁时期的台湾媒体</w:t>
      </w:r>
    </w:p>
    <w:p w14:paraId="08400F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4.报禁解除后媒介议题的转变</w:t>
      </w:r>
    </w:p>
    <w:p w14:paraId="197046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（十一）香港的媒介事件与媒介批评</w:t>
      </w:r>
    </w:p>
    <w:p w14:paraId="314D5E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1.香港回归前的媒介风暴</w:t>
      </w:r>
    </w:p>
    <w:p w14:paraId="7E4319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2.媒介事件与媒介批评的母题</w:t>
      </w:r>
    </w:p>
    <w:p w14:paraId="478D5D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hint="eastAsia" w:ascii="仿宋" w:hAnsi="仿宋" w:eastAsia="仿宋" w:cs="仿宋"/>
          <w:sz w:val="24"/>
          <w:szCs w:val="24"/>
        </w:rPr>
        <w:t xml:space="preserve">  3.媒介批评的多重力量</w:t>
      </w:r>
    </w:p>
    <w:p w14:paraId="1519CF77">
      <w:pPr>
        <w:rPr>
          <w:rFonts w:hint="default" w:ascii="仿宋" w:hAnsi="仿宋" w:eastAsia="仿宋"/>
          <w:sz w:val="28"/>
          <w:szCs w:val="28"/>
          <w:highlight w:val="yellow"/>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E76BF">
    <w:pPr>
      <w:pStyle w:val="3"/>
      <w:jc w:val="cente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14:paraId="75B4FD0D">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7B5070A8"/>
            </w:txbxContent>
          </v:textbox>
        </v:shape>
      </w:pict>
    </w:r>
  </w:p>
  <w:p w14:paraId="77019483">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DB4BBB"/>
    <w:rsid w:val="00023171"/>
    <w:rsid w:val="00150125"/>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D6F42"/>
    <w:rsid w:val="00FE3ADE"/>
    <w:rsid w:val="0A86693C"/>
    <w:rsid w:val="13033E82"/>
    <w:rsid w:val="208757D7"/>
    <w:rsid w:val="36B32C31"/>
    <w:rsid w:val="39B1357E"/>
    <w:rsid w:val="584601B1"/>
    <w:rsid w:val="5EAD7001"/>
    <w:rsid w:val="73771240"/>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52</Words>
  <Characters>57</Characters>
  <Lines>9</Lines>
  <Paragraphs>2</Paragraphs>
  <TotalTime>0</TotalTime>
  <ScaleCrop>false</ScaleCrop>
  <LinksUpToDate>false</LinksUpToDate>
  <CharactersWithSpaces>57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张津♡</cp:lastModifiedBy>
  <dcterms:modified xsi:type="dcterms:W3CDTF">2024-11-18T02:10:16Z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3038150605C34088967D6F6AA5C868BF</vt:lpwstr>
  </property>
</Properties>
</file>