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9A7490">
      <w:pPr>
        <w:pStyle w:val="2"/>
        <w:widowControl/>
        <w:shd w:val="clear" w:color="auto" w:fill="FFFFFF"/>
        <w:adjustRightInd w:val="0"/>
        <w:snapToGrid w:val="0"/>
        <w:spacing w:beforeAutospacing="0" w:afterAutospacing="0" w:line="360" w:lineRule="auto"/>
        <w:rPr>
          <w:rFonts w:ascii="Times New Roman" w:hAnsi="Times New Roman" w:eastAsia="宋体" w:cs="宋体"/>
          <w:bCs/>
          <w:color w:val="auto"/>
          <w:shd w:val="clear" w:color="auto" w:fill="FFFFFF"/>
          <w:lang w:bidi="ar"/>
        </w:rPr>
      </w:pPr>
      <w:bookmarkStart w:id="0" w:name="_GoBack"/>
      <w:r>
        <w:rPr>
          <w:rFonts w:hint="eastAsia" w:ascii="Times New Roman" w:hAnsi="Times New Roman" w:eastAsia="宋体" w:cs="宋体"/>
          <w:bCs/>
          <w:color w:val="auto"/>
          <w:shd w:val="clear" w:color="auto" w:fill="FFFFFF"/>
          <w:lang w:bidi="ar"/>
        </w:rPr>
        <w:t>附件1：音乐学院博士生研究生“申请审核制”招生科研能力成绩评分办法</w:t>
      </w:r>
    </w:p>
    <w:p w14:paraId="45B319E2">
      <w:pPr>
        <w:pStyle w:val="2"/>
        <w:widowControl/>
        <w:shd w:val="clear" w:color="auto" w:fill="FFFFFF"/>
        <w:adjustRightInd w:val="0"/>
        <w:snapToGrid w:val="0"/>
        <w:spacing w:beforeAutospacing="0" w:afterAutospacing="0" w:line="360" w:lineRule="auto"/>
        <w:rPr>
          <w:rFonts w:ascii="Times New Roman" w:hAnsi="Times New Roman" w:eastAsia="宋体" w:cs="宋体"/>
          <w:bCs/>
          <w:color w:val="auto"/>
          <w:shd w:val="clear" w:color="auto" w:fill="FFFFFF"/>
          <w:lang w:bidi="ar"/>
        </w:rPr>
      </w:pPr>
    </w:p>
    <w:p w14:paraId="024653B2">
      <w:pPr>
        <w:pStyle w:val="2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="542" w:firstLineChars="200"/>
        <w:jc w:val="center"/>
        <w:rPr>
          <w:rFonts w:ascii="Times New Roman" w:hAnsi="Times New Roman" w:eastAsia="仿宋" w:cstheme="minorBidi"/>
          <w:b/>
          <w:bCs/>
          <w:color w:val="auto"/>
          <w:kern w:val="2"/>
          <w:sz w:val="27"/>
          <w:szCs w:val="27"/>
          <w:shd w:val="clear" w:color="auto" w:fill="FFFFFF"/>
        </w:rPr>
      </w:pPr>
      <w:r>
        <w:rPr>
          <w:rFonts w:hint="eastAsia" w:ascii="Times New Roman" w:hAnsi="Times New Roman" w:eastAsia="仿宋" w:cstheme="minorBidi"/>
          <w:b/>
          <w:bCs/>
          <w:color w:val="auto"/>
          <w:kern w:val="2"/>
          <w:sz w:val="27"/>
          <w:szCs w:val="27"/>
          <w:shd w:val="clear" w:color="auto" w:fill="FFFFFF"/>
        </w:rPr>
        <w:t>音乐学院博士生研究生“申请审核制”招生科研能力成绩</w:t>
      </w:r>
    </w:p>
    <w:p w14:paraId="1928F506">
      <w:pPr>
        <w:pStyle w:val="2"/>
        <w:widowControl/>
        <w:shd w:val="clear" w:color="auto" w:fill="FFFFFF"/>
        <w:adjustRightInd w:val="0"/>
        <w:snapToGrid w:val="0"/>
        <w:spacing w:beforeAutospacing="0" w:afterAutospacing="0" w:line="360" w:lineRule="auto"/>
        <w:ind w:firstLine="542" w:firstLineChars="200"/>
        <w:jc w:val="center"/>
        <w:rPr>
          <w:rFonts w:ascii="Times New Roman" w:hAnsi="Times New Roman" w:eastAsia="仿宋" w:cstheme="minorBidi"/>
          <w:b/>
          <w:bCs/>
          <w:color w:val="auto"/>
          <w:kern w:val="2"/>
          <w:sz w:val="27"/>
          <w:szCs w:val="27"/>
          <w:shd w:val="clear" w:color="auto" w:fill="FFFFFF"/>
        </w:rPr>
      </w:pPr>
      <w:r>
        <w:rPr>
          <w:rFonts w:hint="eastAsia" w:ascii="Times New Roman" w:hAnsi="Times New Roman" w:eastAsia="仿宋" w:cstheme="minorBidi"/>
          <w:b/>
          <w:bCs/>
          <w:color w:val="auto"/>
          <w:kern w:val="2"/>
          <w:sz w:val="27"/>
          <w:szCs w:val="27"/>
          <w:shd w:val="clear" w:color="auto" w:fill="FFFFFF"/>
        </w:rPr>
        <w:t>评分办法</w:t>
      </w:r>
    </w:p>
    <w:tbl>
      <w:tblPr>
        <w:tblStyle w:val="4"/>
        <w:tblW w:w="0" w:type="auto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36"/>
        <w:gridCol w:w="3826"/>
        <w:gridCol w:w="2131"/>
      </w:tblGrid>
      <w:tr w14:paraId="01A42E4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6" w:type="dxa"/>
            <w:vAlign w:val="center"/>
          </w:tcPr>
          <w:p w14:paraId="534C9F9A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  <w:r>
              <w:rPr>
                <w:rFonts w:hint="eastAsia" w:ascii="Times New Roman" w:hAnsi="Times New Roman" w:eastAsia="宋体" w:cs="宋体"/>
                <w:b/>
                <w:bCs/>
                <w:color w:val="auto"/>
                <w:shd w:val="clear" w:color="auto" w:fill="FFFFFF"/>
                <w:lang w:bidi="ar"/>
              </w:rPr>
              <w:t>科研能力成绩</w:t>
            </w:r>
          </w:p>
        </w:tc>
        <w:tc>
          <w:tcPr>
            <w:tcW w:w="3826" w:type="dxa"/>
            <w:vAlign w:val="center"/>
          </w:tcPr>
          <w:p w14:paraId="3D93A82B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  <w:r>
              <w:rPr>
                <w:rFonts w:hint="eastAsia"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  <w:t>成果要求</w:t>
            </w:r>
          </w:p>
        </w:tc>
        <w:tc>
          <w:tcPr>
            <w:tcW w:w="2131" w:type="dxa"/>
          </w:tcPr>
          <w:p w14:paraId="64A74F90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  <w:r>
              <w:rPr>
                <w:rFonts w:hint="eastAsia"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  <w:t>相关说明</w:t>
            </w:r>
          </w:p>
        </w:tc>
      </w:tr>
      <w:tr w14:paraId="5A7E72B6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6" w:type="dxa"/>
            <w:vAlign w:val="center"/>
          </w:tcPr>
          <w:p w14:paraId="128FB036">
            <w:pPr>
              <w:pStyle w:val="2"/>
              <w:widowControl/>
              <w:adjustRightInd w:val="0"/>
              <w:snapToGrid w:val="0"/>
              <w:spacing w:beforeAutospacing="0" w:afterAutospacing="0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hd w:val="clear" w:color="auto" w:fill="FFFFFF"/>
                <w:lang w:bidi="ar"/>
              </w:rPr>
              <w:t>91—100分</w:t>
            </w:r>
          </w:p>
        </w:tc>
        <w:tc>
          <w:tcPr>
            <w:tcW w:w="3826" w:type="dxa"/>
            <w:vAlign w:val="center"/>
          </w:tcPr>
          <w:p w14:paraId="2D67C25D">
            <w:pPr>
              <w:pStyle w:val="2"/>
              <w:widowControl/>
              <w:adjustRightInd w:val="0"/>
              <w:snapToGrid w:val="0"/>
              <w:spacing w:beforeAutospacing="0" w:afterAutospacing="0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在普通本科学报发表学术论文1篇，且符合下列条件之一：在音乐领域CSSCI期刊发表学术论文1篇；主持A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3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类及以上科研课题1项，或主持A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1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类学位点与专业建设类项目1项；获省级科研奖励一等奖1项，或国家级三等奖及以上奖励1项；在一类出版社出版学术专著1部，或主编出版国家级规划教材1部。</w:t>
            </w:r>
          </w:p>
        </w:tc>
        <w:tc>
          <w:tcPr>
            <w:tcW w:w="2131" w:type="dxa"/>
            <w:vMerge w:val="restart"/>
          </w:tcPr>
          <w:p w14:paraId="0098385A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1.所有成果均须与报考专业相关。</w:t>
            </w:r>
          </w:p>
          <w:p w14:paraId="2AEBC8EA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2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.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奖励含科研、教学成果、音乐专业技能、教育教学技能以及其他经认定为省级的各类比赛获奖或荣誉表彰等。</w:t>
            </w:r>
          </w:p>
          <w:p w14:paraId="665C3E6B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</w:pP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3.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相关业绩等级认定参照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《安徽师范大学科研业绩分类和认定办法》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（2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022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）以及《安徽师范大学教学业绩认定和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奖励办法（试行）》，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val="en-US" w:eastAsia="zh-CN" w:bidi="ar"/>
              </w:rPr>
              <w:t>按照最高等级成果确定分数档，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且同一等级的成果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val="en-US" w:eastAsia="zh-CN" w:bidi="ar"/>
              </w:rPr>
              <w:t>限提供三项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，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val="en-US" w:eastAsia="zh-CN" w:bidi="ar"/>
              </w:rPr>
              <w:t>并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由“考核组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”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val="en-US" w:eastAsia="zh-CN" w:bidi="ar"/>
              </w:rPr>
              <w:t>根据所在分数档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综合评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val="en-US" w:eastAsia="zh-CN" w:bidi="ar"/>
              </w:rPr>
              <w:t>定。</w:t>
            </w:r>
          </w:p>
          <w:p w14:paraId="54FF60B6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</w:pP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4.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科研成果统计年限为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近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val="en-US" w:eastAsia="zh-CN" w:bidi="ar"/>
              </w:rPr>
              <w:t>十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年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eastAsia="zh-CN" w:bidi="ar"/>
              </w:rPr>
              <w:t>（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val="en-US" w:eastAsia="zh-CN" w:bidi="ar"/>
              </w:rPr>
              <w:t>2015年1月1日至今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eastAsia="zh-CN" w:bidi="ar"/>
              </w:rPr>
              <w:t>）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。</w:t>
            </w:r>
          </w:p>
          <w:p w14:paraId="774984F4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</w:pP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5.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未尽事宜或特殊成果认定由音乐学院博士招生“考核组”讨论认定。</w:t>
            </w:r>
          </w:p>
        </w:tc>
      </w:tr>
      <w:tr w14:paraId="5145980E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6" w:type="dxa"/>
            <w:vAlign w:val="center"/>
          </w:tcPr>
          <w:p w14:paraId="0FF3FC45">
            <w:pPr>
              <w:pStyle w:val="2"/>
              <w:widowControl/>
              <w:adjustRightInd w:val="0"/>
              <w:snapToGrid w:val="0"/>
              <w:spacing w:beforeAutospacing="0" w:afterAutospacing="0"/>
              <w:jc w:val="center"/>
              <w:rPr>
                <w:rFonts w:ascii="Times New Roman" w:hAnsi="Times New Roman" w:eastAsia="宋体" w:cs="宋体"/>
                <w:color w:val="auto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hd w:val="clear" w:color="auto" w:fill="FFFFFF"/>
                <w:lang w:bidi="ar"/>
              </w:rPr>
              <w:t>81—90分</w:t>
            </w:r>
          </w:p>
        </w:tc>
        <w:tc>
          <w:tcPr>
            <w:tcW w:w="3826" w:type="dxa"/>
            <w:vAlign w:val="center"/>
          </w:tcPr>
          <w:p w14:paraId="1E218EFA">
            <w:pPr>
              <w:pStyle w:val="2"/>
              <w:widowControl/>
              <w:adjustRightInd w:val="0"/>
              <w:snapToGrid w:val="0"/>
              <w:spacing w:beforeAutospacing="0" w:afterAutospacing="0"/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在普通本科学报发表学术论文1篇，且符合下列条件之一：在音乐领域北大核心期刊或CSSCI扩展版发表学术论文或教研论文1篇，或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被人大复印资料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，被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《高等学校文科学术文摘》转载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；主持B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1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类科研课题1项，或主持B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1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类学位点与专业建设类项目1项；获省级科研奖励二等奖1项，或其他省级一等奖1项；在二类出版社出版学术专著1部，或在一类出版社出版编著或译著1部，或主编省级规划教材1部。</w:t>
            </w:r>
          </w:p>
        </w:tc>
        <w:tc>
          <w:tcPr>
            <w:tcW w:w="2131" w:type="dxa"/>
            <w:vMerge w:val="continue"/>
          </w:tcPr>
          <w:p w14:paraId="0876D13C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</w:p>
        </w:tc>
      </w:tr>
      <w:tr w14:paraId="23B3E7D5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6" w:type="dxa"/>
            <w:vAlign w:val="center"/>
          </w:tcPr>
          <w:p w14:paraId="06D9A1DD">
            <w:pPr>
              <w:pStyle w:val="2"/>
              <w:widowControl/>
              <w:adjustRightInd w:val="0"/>
              <w:snapToGrid w:val="0"/>
              <w:spacing w:beforeAutospacing="0" w:afterAutospacing="0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hd w:val="clear" w:color="auto" w:fill="FFFFFF"/>
                <w:lang w:bidi="ar"/>
              </w:rPr>
              <w:t>71-80分</w:t>
            </w:r>
          </w:p>
        </w:tc>
        <w:tc>
          <w:tcPr>
            <w:tcW w:w="3826" w:type="dxa"/>
            <w:vAlign w:val="center"/>
          </w:tcPr>
          <w:p w14:paraId="66233F19">
            <w:pPr>
              <w:pStyle w:val="2"/>
              <w:widowControl/>
              <w:adjustRightInd w:val="0"/>
              <w:snapToGrid w:val="0"/>
              <w:spacing w:beforeAutospacing="0" w:afterAutospacing="0"/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在普通本科学报发表学术论文1篇，且符合下列条件之一：在专业艺术院校学报（非核心期刊）发表学术论文或教研1篇；主持B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2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类科研课题1项，或C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1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类学位点与专业建设类项目1项；获省级科研奖励三等奖1项，或其他省级二等奖1项；在三类出版社出版学术专著1部，或在二类出版社出版编著、译著或教材1部。</w:t>
            </w:r>
          </w:p>
        </w:tc>
        <w:tc>
          <w:tcPr>
            <w:tcW w:w="2131" w:type="dxa"/>
            <w:vMerge w:val="continue"/>
          </w:tcPr>
          <w:p w14:paraId="71389B8A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</w:p>
        </w:tc>
      </w:tr>
      <w:tr w14:paraId="05DAFF37"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36" w:type="dxa"/>
            <w:vAlign w:val="center"/>
          </w:tcPr>
          <w:p w14:paraId="7AD85072">
            <w:pPr>
              <w:pStyle w:val="2"/>
              <w:widowControl/>
              <w:adjustRightInd w:val="0"/>
              <w:snapToGrid w:val="0"/>
              <w:spacing w:beforeAutospacing="0" w:afterAutospacing="0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hd w:val="clear" w:color="auto" w:fill="FFFFFF"/>
                <w:lang w:bidi="ar"/>
              </w:rPr>
              <w:t>61—70分</w:t>
            </w:r>
          </w:p>
        </w:tc>
        <w:tc>
          <w:tcPr>
            <w:tcW w:w="3826" w:type="dxa"/>
            <w:vAlign w:val="center"/>
          </w:tcPr>
          <w:p w14:paraId="579316DB">
            <w:pPr>
              <w:pStyle w:val="2"/>
              <w:widowControl/>
              <w:adjustRightInd w:val="0"/>
              <w:snapToGrid w:val="0"/>
              <w:spacing w:beforeAutospacing="0" w:afterAutospacing="0"/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</w:pP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在普通本科学报发表学术论文1篇，且符合下列条件之一：主持B</w:t>
            </w:r>
            <w:r>
              <w:rPr>
                <w:rFonts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3</w:t>
            </w:r>
            <w:r>
              <w:rPr>
                <w:rFonts w:hint="eastAsia" w:ascii="Times New Roman" w:hAnsi="Times New Roman" w:eastAsia="宋体" w:cs="宋体"/>
                <w:color w:val="auto"/>
                <w:sz w:val="21"/>
                <w:szCs w:val="21"/>
                <w:shd w:val="clear" w:color="auto" w:fill="FFFFFF"/>
                <w:lang w:bidi="ar"/>
              </w:rPr>
              <w:t>类科研课题1项，或C2类学位点与专业建设类项目1项；获省级三等奖奖励1项；或在三类出版社出版的编著、译著或教材1部。</w:t>
            </w:r>
          </w:p>
        </w:tc>
        <w:tc>
          <w:tcPr>
            <w:tcW w:w="2131" w:type="dxa"/>
            <w:vMerge w:val="continue"/>
          </w:tcPr>
          <w:p w14:paraId="40E0A9B3">
            <w:pPr>
              <w:pStyle w:val="2"/>
              <w:widowControl/>
              <w:adjustRightInd w:val="0"/>
              <w:snapToGrid w:val="0"/>
              <w:spacing w:beforeAutospacing="0" w:afterAutospacing="0" w:line="360" w:lineRule="auto"/>
              <w:jc w:val="center"/>
              <w:rPr>
                <w:rFonts w:ascii="Times New Roman" w:hAnsi="Times New Roman" w:eastAsia="仿宋" w:cstheme="minorBidi"/>
                <w:b/>
                <w:bCs/>
                <w:color w:val="auto"/>
                <w:kern w:val="2"/>
                <w:sz w:val="27"/>
                <w:szCs w:val="27"/>
                <w:shd w:val="clear" w:color="auto" w:fill="FFFFFF"/>
              </w:rPr>
            </w:pPr>
          </w:p>
        </w:tc>
      </w:tr>
    </w:tbl>
    <w:p w14:paraId="22F80CE5">
      <w:pPr>
        <w:widowControl/>
        <w:shd w:val="clear" w:color="auto" w:fill="FFFFFF"/>
        <w:adjustRightInd w:val="0"/>
        <w:snapToGrid w:val="0"/>
        <w:spacing w:line="360" w:lineRule="auto"/>
        <w:rPr>
          <w:rFonts w:ascii="Times New Roman" w:hAnsi="Times New Roman" w:eastAsia="宋体" w:cs="宋体"/>
          <w:b/>
          <w:bCs/>
          <w:color w:val="auto"/>
          <w:kern w:val="0"/>
          <w:sz w:val="24"/>
          <w:shd w:val="clear" w:color="auto" w:fill="FFFFFF"/>
          <w:lang w:bidi="ar"/>
        </w:rPr>
      </w:pPr>
    </w:p>
    <w:bookmarkEnd w:id="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6E53"/>
    <w:rsid w:val="0010636B"/>
    <w:rsid w:val="001079ED"/>
    <w:rsid w:val="002332AA"/>
    <w:rsid w:val="00244841"/>
    <w:rsid w:val="00416AE5"/>
    <w:rsid w:val="00486564"/>
    <w:rsid w:val="005223F8"/>
    <w:rsid w:val="007E0D98"/>
    <w:rsid w:val="0088322E"/>
    <w:rsid w:val="008A1040"/>
    <w:rsid w:val="00952BCA"/>
    <w:rsid w:val="00A86FFB"/>
    <w:rsid w:val="00DA6D46"/>
    <w:rsid w:val="00E06E53"/>
    <w:rsid w:val="00E65638"/>
    <w:rsid w:val="00E75834"/>
    <w:rsid w:val="00EE4826"/>
    <w:rsid w:val="00F07142"/>
    <w:rsid w:val="1AF5611D"/>
    <w:rsid w:val="28557C8A"/>
    <w:rsid w:val="4DB539EC"/>
    <w:rsid w:val="51674DE0"/>
    <w:rsid w:val="7CB97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4">
    <w:name w:val="Table Grid"/>
    <w:basedOn w:val="3"/>
    <w:qFormat/>
    <w:uiPriority w:val="0"/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855</Words>
  <Characters>893</Characters>
  <Lines>6</Lines>
  <Paragraphs>1</Paragraphs>
  <TotalTime>71</TotalTime>
  <ScaleCrop>false</ScaleCrop>
  <LinksUpToDate>false</LinksUpToDate>
  <CharactersWithSpaces>893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2025-01-21T13:00:00Z</dcterms:created>
  <dc:creator>吴 文涛</dc:creator>
  <cp:lastModifiedBy>石磊</cp:lastModifiedBy>
  <dcterms:modified xsi:type="dcterms:W3CDTF">2025-01-27T07:46:20Z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eyJoZGlkIjoiNzNjNWI0ZTEzNTA5YWEyMzdlNjM2ZWE1YmZlNGM4NmMiLCJ1c2VySWQiOiI3MzkyNjEwMDgifQ==</vt:lpwstr>
  </property>
  <property fmtid="{D5CDD505-2E9C-101B-9397-08002B2CF9AE}" pid="3" name="KSOProductBuildVer">
    <vt:lpwstr>2052-12.1.0.19770</vt:lpwstr>
  </property>
  <property fmtid="{D5CDD505-2E9C-101B-9397-08002B2CF9AE}" pid="4" name="ICV">
    <vt:lpwstr>2A3546AF5BF6454BA4E238E97C426D80_13</vt:lpwstr>
  </property>
</Properties>
</file>