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30" w:lineRule="atLeast"/>
        <w:ind w:left="0" w:firstLine="0"/>
        <w:jc w:val="center"/>
        <w:rPr>
          <w:rFonts w:ascii="微软雅黑" w:hAnsi="微软雅黑" w:eastAsia="微软雅黑" w:cs="微软雅黑"/>
          <w:i w:val="0"/>
          <w:iCs w:val="0"/>
          <w:caps w:val="0"/>
          <w:color w:val="727272"/>
          <w:spacing w:val="0"/>
          <w:sz w:val="36"/>
          <w:szCs w:val="36"/>
        </w:rPr>
      </w:pPr>
      <w:r>
        <w:rPr>
          <w:rFonts w:hint="eastAsia" w:ascii="微软雅黑" w:hAnsi="微软雅黑" w:eastAsia="微软雅黑" w:cs="微软雅黑"/>
          <w:i w:val="0"/>
          <w:iCs w:val="0"/>
          <w:caps w:val="0"/>
          <w:color w:val="727272"/>
          <w:spacing w:val="0"/>
          <w:sz w:val="36"/>
          <w:szCs w:val="36"/>
        </w:rPr>
        <w:t>中医学院（仲景学院）2024年博士研究生录取实施细则</w:t>
      </w:r>
    </w:p>
    <w:p>
      <w:pPr>
        <w:pStyle w:val="3"/>
        <w:keepNext w:val="0"/>
        <w:keepLines w:val="0"/>
        <w:widowControl/>
        <w:suppressLineNumbers w:val="0"/>
        <w:spacing w:before="0" w:beforeAutospacing="1" w:after="0" w:afterAutospacing="1" w:line="315" w:lineRule="atLeast"/>
        <w:ind w:left="0" w:right="0" w:firstLine="42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为做好本年度录取工作，根据《河南中医药大学2024年博士研究生录取实施方案》，结合我院实际，特制订本录取实施细则。</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一、总体要求</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博士研究生复试录取工作要坚持“德智体全面衡量、择优录取、确保质量、宁缺勿滥，以提高质量为核心，坚持立德树人”的原则，充分体现招生工作的公平、公正、公开，并在学校研究生招生工作领导小组统一指导监督下，由本院部博士招生工作领导小组负责具体组织实施，同时成立博士招生监督小组，具体负责本部门博士研究生招生的监督工作。</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二、复试分数线</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复试入围设英语单科线和总成绩分数线，成绩合格考生方可进入复试环节。分数线划定如下：中医类 英语≥50分，总分≥110分。</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三、资格审查</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1.参加复试考生在4月27日前将资格审查材料发送至邮箱jcyxyygb@163.com，审查通过者方可参加复试。</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2.复试资格审查时考生应出具身份证、准考证复印件，同时提供以下材料：</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（1）河南中医药大学2024年招收博士生情况登记表；</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（2）专家推荐书；</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（3）硕士阶段课程成绩单；</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4）证书：本科学位证书、毕业证书。往届毕业生交硕士学位证书、毕业证书复印件及在线学历验证报告；应届生交学生证、在线学籍验证报告，并须在录取前补交硕士学位证、毕业证复印件（不能按期提交者，取消其当年录取资格）；</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《教育部学历证书电子注册备案表》及《教育部学籍在线验证报告》申请办法详见： http://www.chsi.com.cn/xlcx/bgcx.jsp 。</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（5）政审表；</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（6）考生须根据拟报考导师的研究方向，提交一份进入博士阶段课题研究计划书格式自定，计划书内容包括研究目的、研究背景、研究内容、研究方案、创新点等，要求字数不少于3000字，列出必要的参考文献。</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7）硕士学位论文及硕士学位论文特色自我评述，应届硕士毕业生可提供硕士学位论文开题报告、摘要和研究内容目录等；往届毕业生另需提供：硕士及本科阶段有效期内的《教育部学历证书电子注册备案表》、学位证书原件及复印件。</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四、复试程序</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（一）复试工作由本院部组织实施，主要内容为综合面试，采取线下方式进行，满分为100分。</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（二）根据招生导师的学科（专业）成立若干专家综合面试小组，负责组织博士研究生的面试工作，面试小组由不少于 5 人的本学科教授职称或相当专业技术职务以上专家组成，并配备面试小组秘书。面试时，监督小组应有人员全程监督。</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（三）综合面试小组将结合学科特点、培养类型及培养目标要求，采用线下的方式。面试内容可分为答辩、临床技能或实验技能等组成，由综合面试小组秘书现场抽取考题进行面试，面试要求全程录音录像。</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（四）未在招生目录上的导师原则上不参加一志愿录取。</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五、录取原则</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（一）根据录取成绩从高分到低分依次录取，总成绩＝初试总分/2.6×40%+面试成绩×60%。总成绩低于60分的不得录取。</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（二）导师原则上在符合分数线要求且报考本人的考生中从高分到低分依次录取。</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（三）同一导师考生如有总成绩排名靠前者放弃时，按照总成绩排名先后顺序进行依次替补录取。</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（四）增量招生计划符合同一导师、同一类型的，如生源充足的可在一志愿增录完成招生。</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六、调剂原则</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按照《河南中医药大学2024年博士研究生招生调剂办法》执行。</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rPr>
        <w:t>七、其它</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一）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学院全面审查其政治思想情况。应届硕士毕业考生另需携带本人按时毕业的证明材料。</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（二）学校纪检监察部门及研究生院将对博士研究生录取工作巡查和监督，纪检监察联系电话：0371-65575590；通讯地址：郑州市郑东新区龙子湖高校园区河南中医药大学监察处，</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邮编：450046，邮箱:jwhnzyxy@163.com。</w:t>
      </w:r>
    </w:p>
    <w:p>
      <w:pPr>
        <w:pStyle w:val="3"/>
        <w:keepNext w:val="0"/>
        <w:keepLines w:val="0"/>
        <w:widowControl/>
        <w:suppressLineNumbers w:val="0"/>
        <w:spacing w:line="315" w:lineRule="atLeast"/>
        <w:ind w:lef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（三）联系电话：0371-55658171，张老师；通讯地址：郑州市郑东新区龙子湖高校园区河南中医药大学中医学院（仲景学院）学科建设与研究生教育办公室；邮编：450046，邮箱:jcyxyygb@163.com。</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60CF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36</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2024-05-29T05:57:39Z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F85899A81D7F49A89B1CAA0BB2F7C54A_11</vt:lpwstr>
  </property>
</Properties>
</file>