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F566B">
      <w:pPr>
        <w:widowControl w:val="0"/>
        <w:shd w:val="clear" w:color="auto" w:fill="FFFFFF"/>
        <w:spacing w:before="0" w:beforeLines="0" w:after="0" w:afterLines="0" w:line="560" w:lineRule="exact"/>
        <w:jc w:val="center"/>
        <w:rPr>
          <w:rFonts w:hint="eastAsia" w:ascii="仿宋_GB2312" w:hAnsi="仿宋_GB2312" w:eastAsia="仿宋_GB2312" w:cs="仿宋_GB2312"/>
          <w:color w:val="auto"/>
          <w:sz w:val="32"/>
          <w:szCs w:val="32"/>
          <w:highlight w:val="none"/>
        </w:rPr>
      </w:pPr>
      <w:bookmarkStart w:id="5" w:name="_GoBack"/>
      <w:r>
        <w:rPr>
          <w:rFonts w:hint="eastAsia" w:ascii="宋体" w:hAnsi="宋体" w:eastAsia="宋体" w:cs="宋体"/>
          <w:b/>
          <w:bCs/>
          <w:i w:val="0"/>
          <w:iCs w:val="0"/>
          <w:caps w:val="0"/>
          <w:color w:val="auto"/>
          <w:spacing w:val="0"/>
          <w:kern w:val="0"/>
          <w:sz w:val="44"/>
          <w:szCs w:val="44"/>
          <w:shd w:val="clear" w:fill="FFFFFF"/>
          <w:lang w:val="en-US" w:eastAsia="zh-CN" w:bidi="ar"/>
        </w:rPr>
        <w:t>南昌大学信息工程学院</w:t>
      </w:r>
      <w:r>
        <w:rPr>
          <w:rFonts w:hint="eastAsia" w:ascii="宋体" w:hAnsi="宋体" w:cs="宋体"/>
          <w:b/>
          <w:bCs/>
          <w:i w:val="0"/>
          <w:iCs w:val="0"/>
          <w:caps w:val="0"/>
          <w:color w:val="auto"/>
          <w:spacing w:val="0"/>
          <w:kern w:val="0"/>
          <w:sz w:val="44"/>
          <w:szCs w:val="44"/>
          <w:shd w:val="clear" w:fill="FFFFFF"/>
          <w:lang w:val="en-US" w:eastAsia="zh-CN" w:bidi="ar"/>
        </w:rPr>
        <w:t>信息与通信</w:t>
      </w:r>
      <w:r>
        <w:rPr>
          <w:rFonts w:hint="eastAsia" w:ascii="宋体" w:hAnsi="宋体" w:eastAsia="宋体" w:cs="宋体"/>
          <w:b/>
          <w:bCs/>
          <w:i w:val="0"/>
          <w:iCs w:val="0"/>
          <w:caps w:val="0"/>
          <w:color w:val="auto"/>
          <w:spacing w:val="0"/>
          <w:kern w:val="0"/>
          <w:sz w:val="44"/>
          <w:szCs w:val="44"/>
          <w:shd w:val="clear" w:fill="FFFFFF"/>
          <w:lang w:val="en-US" w:eastAsia="zh-CN" w:bidi="ar"/>
        </w:rPr>
        <w:t>工程博士学位授权点202</w:t>
      </w:r>
      <w:r>
        <w:rPr>
          <w:rFonts w:hint="eastAsia" w:ascii="宋体" w:hAnsi="宋体" w:cs="宋体"/>
          <w:b/>
          <w:bCs/>
          <w:i w:val="0"/>
          <w:iCs w:val="0"/>
          <w:caps w:val="0"/>
          <w:color w:val="auto"/>
          <w:spacing w:val="0"/>
          <w:kern w:val="0"/>
          <w:sz w:val="44"/>
          <w:szCs w:val="44"/>
          <w:shd w:val="clear" w:fill="FFFFFF"/>
          <w:lang w:val="en-US" w:eastAsia="zh-CN" w:bidi="ar"/>
        </w:rPr>
        <w:t>6</w:t>
      </w:r>
      <w:r>
        <w:rPr>
          <w:rFonts w:hint="eastAsia" w:ascii="宋体" w:hAnsi="宋体" w:eastAsia="宋体" w:cs="宋体"/>
          <w:b/>
          <w:bCs/>
          <w:i w:val="0"/>
          <w:iCs w:val="0"/>
          <w:caps w:val="0"/>
          <w:color w:val="auto"/>
          <w:spacing w:val="0"/>
          <w:kern w:val="0"/>
          <w:sz w:val="44"/>
          <w:szCs w:val="44"/>
          <w:shd w:val="clear" w:fill="FFFFFF"/>
          <w:lang w:val="en-US" w:eastAsia="zh-CN" w:bidi="ar"/>
        </w:rPr>
        <w:t>年招收“申请-考核”制博士研究生实施细则</w:t>
      </w:r>
    </w:p>
    <w:bookmarkEnd w:id="5"/>
    <w:p w14:paraId="06CEE5BF">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根据《南昌大学招收攻读博士学位研究生的实施办法（</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年修订）》、《南昌大学博士研究生招生“申请－考核”制实施办法（</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年修订）》等文件要求，结合我院实际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制定本</w:t>
      </w:r>
      <w:r>
        <w:rPr>
          <w:rFonts w:hint="eastAsia" w:ascii="仿宋_GB2312" w:hAnsi="仿宋_GB2312" w:eastAsia="仿宋_GB2312" w:cs="仿宋_GB2312"/>
          <w:color w:val="auto"/>
          <w:sz w:val="32"/>
          <w:szCs w:val="32"/>
          <w:highlight w:val="none"/>
          <w:lang w:eastAsia="zh-CN"/>
        </w:rPr>
        <w:t>细则</w:t>
      </w:r>
      <w:r>
        <w:rPr>
          <w:rFonts w:hint="eastAsia" w:ascii="仿宋_GB2312" w:hAnsi="仿宋_GB2312" w:eastAsia="仿宋_GB2312" w:cs="仿宋_GB2312"/>
          <w:color w:val="auto"/>
          <w:sz w:val="32"/>
          <w:szCs w:val="32"/>
          <w:highlight w:val="none"/>
        </w:rPr>
        <w:t>。</w:t>
      </w:r>
    </w:p>
    <w:p w14:paraId="6AE36407">
      <w:pPr>
        <w:keepNext w:val="0"/>
        <w:keepLines w:val="0"/>
        <w:pageBreakBefore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一、工作原则</w:t>
      </w:r>
    </w:p>
    <w:p w14:paraId="69BE82F1">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坚持公平公正，落实信息公开。</w:t>
      </w:r>
    </w:p>
    <w:p w14:paraId="4CAC1603">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坚持立德树人，实行全面考查，对申请人的思想政治素质和品德、科研能力、科研素质、知识体系和知识结构进行考核。</w:t>
      </w:r>
    </w:p>
    <w:p w14:paraId="443DC3AE">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坚持科学选拔，强化学科综合考核，规范和保障导师在选拔录取中的自主权。</w:t>
      </w:r>
    </w:p>
    <w:p w14:paraId="3B07E423">
      <w:pPr>
        <w:keepNext w:val="0"/>
        <w:keepLines w:val="0"/>
        <w:pageBreakBefore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二、组织机构</w:t>
      </w:r>
    </w:p>
    <w:p w14:paraId="5DFA2603">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学院研究生招生工作小组负责本学院博士生招生重大事项决策，制定本学院“申请-考核”制博士生招生选拔的申请条件、学术要求、申请材料审核办法、审核程序、通过标准、考核办法、录取办法（含资格审核、综合考核与录取等环节的权重比例和具体要求）、申诉机制等具体方案。</w:t>
      </w:r>
    </w:p>
    <w:p w14:paraId="201DF43E">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学院成立研究生招生工作监督小组、资格审核小组、材料评议小组和综合考核小组。</w:t>
      </w:r>
    </w:p>
    <w:p w14:paraId="3A3AB4D6">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招生工作监督小组：负责学院博士生招生考核过程各环节的监督检查，受理、处理考生的举报、投诉事宜，确保招生过程科学有序、公开透明、公平公正。</w:t>
      </w:r>
    </w:p>
    <w:p w14:paraId="673DA48D">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资格审核小组：根据申请条件，对申请人进行资格初审。</w:t>
      </w:r>
    </w:p>
    <w:p w14:paraId="3C3C0BAA">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材料评议小组：由不少于3人的博士生导师组成，负责对申请人员的申请材料进行实名制评分，并给予最终材料评议得分。</w:t>
      </w:r>
    </w:p>
    <w:p w14:paraId="373396D3">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综合考核小组：组织成立相关学科的考核小组，考核专家组（一级学科应不少于7名，二级学科应不少于5名）由本学科专业（或相近学科专业）的博士生导师（含招生导师）组成。</w:t>
      </w:r>
    </w:p>
    <w:p w14:paraId="3D48B9B2">
      <w:pPr>
        <w:keepNext w:val="0"/>
        <w:keepLines w:val="0"/>
        <w:pageBreakBefore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三、招生对象及报考条件</w:t>
      </w:r>
    </w:p>
    <w:p w14:paraId="60283C80">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普通博士生</w:t>
      </w:r>
    </w:p>
    <w:p w14:paraId="4454D146">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招生</w:t>
      </w:r>
      <w:r>
        <w:rPr>
          <w:rFonts w:hint="eastAsia" w:ascii="仿宋_GB2312" w:hAnsi="仿宋_GB2312" w:eastAsia="仿宋_GB2312" w:cs="仿宋_GB2312"/>
          <w:color w:val="auto"/>
          <w:sz w:val="32"/>
          <w:szCs w:val="32"/>
        </w:rPr>
        <w:t>对象</w:t>
      </w:r>
    </w:p>
    <w:p w14:paraId="4C52F642">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以普通报考的方式报考全日制博士须为全日制应届或往届硕士研究生，</w:t>
      </w:r>
      <w:r>
        <w:rPr>
          <w:rFonts w:hint="eastAsia" w:ascii="仿宋_GB2312" w:hAnsi="仿宋_GB2312" w:eastAsia="仿宋_GB2312" w:cs="仿宋_GB2312"/>
          <w:color w:val="auto"/>
          <w:sz w:val="32"/>
          <w:szCs w:val="32"/>
        </w:rPr>
        <w:t>且最迟于博士入学前取得硕士研究生毕业证书和学位证书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获得国（境）外一流大学硕士学位者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须提供教育部留学服务中心的认证报告。</w:t>
      </w:r>
    </w:p>
    <w:p w14:paraId="615C22AD">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rPr>
        <w:t>报考条件</w:t>
      </w:r>
    </w:p>
    <w:p w14:paraId="284B398A">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拥护中国共产党的领导，具有正确的政治方向，热爱祖国，愿意为社会主义现代化建设服务，遵纪守法，品行端正。</w:t>
      </w:r>
    </w:p>
    <w:p w14:paraId="75F4B1B4">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身体和心理健康状况符合我校体检规定。</w:t>
      </w:r>
    </w:p>
    <w:p w14:paraId="70981906">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英语成绩水平满足以下条件之一：</w:t>
      </w:r>
    </w:p>
    <w:p w14:paraId="1761A622">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TOEFL≥80分或IELTS≥6分或CET4≥450分或CET6≥425或在英语语言国家获得过学士以上学位者或参加我校统一组织的英语水平测试且成绩合格</w:t>
      </w:r>
      <w:r>
        <w:rPr>
          <w:rFonts w:hint="eastAsia" w:ascii="仿宋_GB2312" w:hAnsi="仿宋_GB2312" w:eastAsia="仿宋_GB2312" w:cs="仿宋_GB2312"/>
          <w:color w:val="auto"/>
          <w:sz w:val="32"/>
          <w:szCs w:val="32"/>
          <w:lang w:eastAsia="zh-CN"/>
        </w:rPr>
        <w:t>。</w:t>
      </w:r>
    </w:p>
    <w:p w14:paraId="1FCE015B">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硕士学习期间课程成绩优良，掌握了良好的专业基础知识。</w:t>
      </w:r>
    </w:p>
    <w:p w14:paraId="56456E69">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有突出科研成果的应届全日制硕士毕业生可作为申请的优先条件。</w:t>
      </w:r>
    </w:p>
    <w:p w14:paraId="402FEB65">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学术要求</w:t>
      </w:r>
    </w:p>
    <w:p w14:paraId="5E8DA84A">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坚守学术诚信，无学术不端行为记录，有较好的科研能力和科研成果产出，近五年内至少符合以下条件之一：</w:t>
      </w:r>
    </w:p>
    <w:p w14:paraId="7428223D">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①</w:t>
      </w:r>
      <w:r>
        <w:rPr>
          <w:rFonts w:hint="eastAsia" w:ascii="仿宋_GB2312" w:hAnsi="仿宋_GB2312" w:eastAsia="仿宋_GB2312" w:cs="仿宋_GB2312"/>
          <w:color w:val="auto"/>
          <w:sz w:val="32"/>
          <w:szCs w:val="32"/>
          <w:lang w:val="en-US" w:eastAsia="zh-CN"/>
        </w:rPr>
        <w:t>以第一作者、通讯作者或第二作者（导师为第一作者）发表学术论文；</w:t>
      </w:r>
    </w:p>
    <w:p w14:paraId="1636CF6C">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②</w:t>
      </w:r>
      <w:r>
        <w:rPr>
          <w:rFonts w:hint="eastAsia" w:ascii="仿宋_GB2312" w:hAnsi="仿宋_GB2312" w:eastAsia="仿宋_GB2312" w:cs="仿宋_GB2312"/>
          <w:color w:val="auto"/>
          <w:sz w:val="32"/>
          <w:szCs w:val="32"/>
          <w:lang w:val="en-US" w:eastAsia="zh-CN"/>
        </w:rPr>
        <w:t>获得国家级科研奖，或者获得省部级科研奖励（省级一等奖排名前十名、省级二等奖排名前六名、省级三等奖排名前三名）；</w:t>
      </w:r>
    </w:p>
    <w:p w14:paraId="07A67941">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③</w:t>
      </w:r>
      <w:r>
        <w:rPr>
          <w:rFonts w:hint="eastAsia" w:ascii="仿宋_GB2312" w:hAnsi="仿宋_GB2312" w:eastAsia="仿宋_GB2312" w:cs="仿宋_GB2312"/>
          <w:color w:val="auto"/>
          <w:sz w:val="32"/>
          <w:szCs w:val="32"/>
          <w:lang w:val="en-US" w:eastAsia="zh-CN"/>
        </w:rPr>
        <w:t>作为主要成员参与国家级科研项目且已取得一定成果（提供证明文件）；</w:t>
      </w:r>
    </w:p>
    <w:p w14:paraId="72BBD56C">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④</w:t>
      </w:r>
      <w:r>
        <w:rPr>
          <w:rFonts w:hint="eastAsia" w:ascii="仿宋_GB2312" w:hAnsi="仿宋_GB2312" w:eastAsia="仿宋_GB2312" w:cs="仿宋_GB2312"/>
          <w:color w:val="auto"/>
          <w:sz w:val="32"/>
          <w:szCs w:val="32"/>
          <w:lang w:val="en-US" w:eastAsia="zh-CN"/>
        </w:rPr>
        <w:t>作为主要成员获得国家授权发明专利（排名前6名）或实用新型专利（排名前3名）；</w:t>
      </w:r>
    </w:p>
    <w:p w14:paraId="7C663788">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⑤</w:t>
      </w:r>
      <w:r>
        <w:rPr>
          <w:rFonts w:hint="eastAsia" w:ascii="仿宋_GB2312" w:hAnsi="仿宋_GB2312" w:eastAsia="仿宋_GB2312" w:cs="仿宋_GB2312"/>
          <w:color w:val="auto"/>
          <w:sz w:val="32"/>
          <w:szCs w:val="32"/>
          <w:lang w:val="en-US" w:eastAsia="zh-CN"/>
        </w:rPr>
        <w:t>作为主要成员在全国研究生创新竞赛或全国普通高校学科竞赛排行榜内竞赛项目中获得奖励（个人赛第1或者团体赛前3名）；</w:t>
      </w:r>
    </w:p>
    <w:p w14:paraId="483052B2">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⑥</w:t>
      </w:r>
      <w:r>
        <w:rPr>
          <w:rFonts w:hint="eastAsia" w:ascii="仿宋_GB2312" w:hAnsi="仿宋_GB2312" w:eastAsia="仿宋_GB2312" w:cs="仿宋_GB2312"/>
          <w:color w:val="auto"/>
          <w:sz w:val="32"/>
          <w:szCs w:val="32"/>
          <w:lang w:val="en-US" w:eastAsia="zh-CN"/>
        </w:rPr>
        <w:t>取得其他创新性成果（例如专著、标准、新产品等），经学院研究生招生工作小组认定可作为申请条件；</w:t>
      </w:r>
    </w:p>
    <w:p w14:paraId="6DDF2700">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微软雅黑" w:hAnsi="微软雅黑" w:eastAsia="微软雅黑" w:cs="微软雅黑"/>
          <w:color w:val="auto"/>
          <w:sz w:val="32"/>
          <w:szCs w:val="32"/>
          <w:lang w:val="en-US" w:eastAsia="zh-CN"/>
        </w:rPr>
        <w:t>⑦</w:t>
      </w:r>
      <w:r>
        <w:rPr>
          <w:rFonts w:hint="eastAsia" w:ascii="仿宋_GB2312" w:hAnsi="仿宋_GB2312" w:eastAsia="仿宋_GB2312" w:cs="仿宋_GB2312"/>
          <w:color w:val="auto"/>
          <w:sz w:val="32"/>
          <w:szCs w:val="32"/>
          <w:lang w:val="en-US" w:eastAsia="zh-CN"/>
        </w:rPr>
        <w:t>对于确有特殊学术专长和突出科研能力，并于近5年内在本学科领域已取得较为突出科研成果的申请者，可不受</w:t>
      </w:r>
    </w:p>
    <w:p w14:paraId="42620DDF">
      <w:pPr>
        <w:keepNext w:val="0"/>
        <w:keepLines w:val="0"/>
        <w:pageBreakBefore w:val="0"/>
        <w:kinsoku/>
        <w:wordWrap/>
        <w:overflowPunct/>
        <w:topLinePunct w:val="0"/>
        <w:autoSpaceDE/>
        <w:autoSpaceDN/>
        <w:bidi w:val="0"/>
        <w:spacing w:beforeLines="0" w:afterLines="0"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上述条件限制，但须提供相关证明材料（如高水平学术论文或省部级及以上科研成果奖等），经学院研究生招生工作小组审议后，报研究生院审核。</w:t>
      </w:r>
    </w:p>
    <w:p w14:paraId="3E1E0C3C">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以上成绩证书获得时间距当年博士入学时间（9月1日）不超过6年（含6年），若报考时为在读硕士研究生，则成绩证书获得时间不受以上时间限制。</w:t>
      </w:r>
    </w:p>
    <w:p w14:paraId="1D799BC1">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硕博连读</w:t>
      </w:r>
    </w:p>
    <w:p w14:paraId="1D3C5061">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招生</w:t>
      </w:r>
      <w:r>
        <w:rPr>
          <w:rFonts w:hint="eastAsia" w:ascii="仿宋_GB2312" w:hAnsi="仿宋_GB2312" w:eastAsia="仿宋_GB2312" w:cs="仿宋_GB2312"/>
          <w:color w:val="auto"/>
          <w:sz w:val="32"/>
          <w:szCs w:val="32"/>
        </w:rPr>
        <w:t>对象</w:t>
      </w:r>
    </w:p>
    <w:p w14:paraId="51B71F53">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我校全日制二年级在籍优秀硕士研究生。</w:t>
      </w:r>
    </w:p>
    <w:p w14:paraId="23C5F768">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rPr>
        <w:t>报考条件</w:t>
      </w:r>
    </w:p>
    <w:p w14:paraId="06344CB6">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拥护中国共产党的领导，具有正确的政治方向，热爱祖国，愿意为社会主义现代化建设服务，遵纪守法，品行端正。</w:t>
      </w:r>
    </w:p>
    <w:p w14:paraId="4BEBB6D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身体和心理健康状况符合我校体检规定。</w:t>
      </w:r>
    </w:p>
    <w:p w14:paraId="6F1CB347">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（3）硕士研究生所申请硕博连读的专业应与硕士研究生阶段学习专业相同或相近。</w:t>
      </w:r>
    </w:p>
    <w:p w14:paraId="7C558C50">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（4）已完成硕士研究生阶段的课程学习，成绩优秀（全部课程平均分80分以上）；对学术研究有浓厚兴趣，具有较强创新精神和科研能力。</w:t>
      </w:r>
    </w:p>
    <w:p w14:paraId="5D2D5C39">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英语成绩水平满足以下条件之一：</w:t>
      </w:r>
    </w:p>
    <w:p w14:paraId="5CC97FBD">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TOEFL≥80分或IELTS≥6分或CET4≥450分或CET6≥425或在英语语言国家获得过学士以上学位者或参加我校统一组织的英语水平测试且成绩合格</w:t>
      </w:r>
      <w:r>
        <w:rPr>
          <w:rFonts w:hint="eastAsia" w:ascii="仿宋_GB2312" w:hAnsi="仿宋_GB2312" w:eastAsia="仿宋_GB2312" w:cs="仿宋_GB2312"/>
          <w:color w:val="auto"/>
          <w:sz w:val="32"/>
          <w:szCs w:val="32"/>
          <w:lang w:eastAsia="zh-CN"/>
        </w:rPr>
        <w:t>。</w:t>
      </w:r>
    </w:p>
    <w:p w14:paraId="0B18E6C1">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（6）在读硕士期间未受到任何处分、课程考试无重修记录、已向学校交纳应缴的各类费用。</w:t>
      </w:r>
    </w:p>
    <w:p w14:paraId="6618DCF6">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为非定向就业研究生。</w:t>
      </w:r>
    </w:p>
    <w:p w14:paraId="7B27EF34">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（8）学术要求：</w:t>
      </w:r>
    </w:p>
    <w:p w14:paraId="113625FF">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坚守学术诚信，无学术不端行为记录，有较好的科研能力和科研成果产出，近五年内至少符合以下条件之一：</w:t>
      </w:r>
    </w:p>
    <w:p w14:paraId="09C17CDB">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①</w:t>
      </w:r>
      <w:r>
        <w:rPr>
          <w:rFonts w:hint="eastAsia" w:ascii="仿宋_GB2312" w:hAnsi="仿宋_GB2312" w:eastAsia="仿宋_GB2312" w:cs="仿宋_GB2312"/>
          <w:color w:val="auto"/>
          <w:sz w:val="32"/>
          <w:szCs w:val="32"/>
          <w:lang w:val="en-US" w:eastAsia="zh-CN"/>
        </w:rPr>
        <w:t>以第一作者、通讯作者或第二作者（导师为第一作者）发表学术论文；</w:t>
      </w:r>
    </w:p>
    <w:p w14:paraId="260E0BB8">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②</w:t>
      </w:r>
      <w:r>
        <w:rPr>
          <w:rFonts w:hint="eastAsia" w:ascii="仿宋_GB2312" w:hAnsi="仿宋_GB2312" w:eastAsia="仿宋_GB2312" w:cs="仿宋_GB2312"/>
          <w:color w:val="auto"/>
          <w:sz w:val="32"/>
          <w:szCs w:val="32"/>
          <w:lang w:val="en-US" w:eastAsia="zh-CN"/>
        </w:rPr>
        <w:t>获得国家级科研奖，或者获得省部级科研奖励（省级一等奖排名前十名、省级二等奖排名前六名、省级三等奖排名前三名）；</w:t>
      </w:r>
    </w:p>
    <w:p w14:paraId="3A4A0D19">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③</w:t>
      </w:r>
      <w:r>
        <w:rPr>
          <w:rFonts w:hint="eastAsia" w:ascii="仿宋_GB2312" w:hAnsi="仿宋_GB2312" w:eastAsia="仿宋_GB2312" w:cs="仿宋_GB2312"/>
          <w:color w:val="auto"/>
          <w:sz w:val="32"/>
          <w:szCs w:val="32"/>
          <w:lang w:val="en-US" w:eastAsia="zh-CN"/>
        </w:rPr>
        <w:t>作为主要成员参与国家级科研项目且已取得一定成果（提供证明文件）；</w:t>
      </w:r>
    </w:p>
    <w:p w14:paraId="6ED0CDC9">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④</w:t>
      </w:r>
      <w:r>
        <w:rPr>
          <w:rFonts w:hint="eastAsia" w:ascii="仿宋_GB2312" w:hAnsi="仿宋_GB2312" w:eastAsia="仿宋_GB2312" w:cs="仿宋_GB2312"/>
          <w:color w:val="auto"/>
          <w:sz w:val="32"/>
          <w:szCs w:val="32"/>
          <w:lang w:val="en-US" w:eastAsia="zh-CN"/>
        </w:rPr>
        <w:t>作为主要成员获得国家授权发明专利（排名前6名）或实用新型专利（排名前3名）；</w:t>
      </w:r>
    </w:p>
    <w:p w14:paraId="2788E053">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⑤</w:t>
      </w:r>
      <w:r>
        <w:rPr>
          <w:rFonts w:hint="eastAsia" w:ascii="仿宋_GB2312" w:hAnsi="仿宋_GB2312" w:eastAsia="仿宋_GB2312" w:cs="仿宋_GB2312"/>
          <w:color w:val="auto"/>
          <w:sz w:val="32"/>
          <w:szCs w:val="32"/>
          <w:lang w:val="en-US" w:eastAsia="zh-CN"/>
        </w:rPr>
        <w:t>作为主要成员在全国研究生创新竞赛或全国普通高校学科竞赛排行榜内竞赛项目中获得奖励（个人赛第1或者团体赛前3名）；</w:t>
      </w:r>
    </w:p>
    <w:p w14:paraId="46C92C86">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⑥</w:t>
      </w:r>
      <w:r>
        <w:rPr>
          <w:rFonts w:hint="eastAsia" w:ascii="仿宋_GB2312" w:hAnsi="仿宋_GB2312" w:eastAsia="仿宋_GB2312" w:cs="仿宋_GB2312"/>
          <w:color w:val="auto"/>
          <w:sz w:val="32"/>
          <w:szCs w:val="32"/>
          <w:lang w:val="en-US" w:eastAsia="zh-CN"/>
        </w:rPr>
        <w:t>硕博连读申请人无创新性成果的，经硕士导师及报考导师对其科研能力进行鉴定，获得认可并联名推荐，可作为申请条件；</w:t>
      </w:r>
    </w:p>
    <w:p w14:paraId="0285A280">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微软雅黑" w:hAnsi="微软雅黑" w:eastAsia="微软雅黑" w:cs="微软雅黑"/>
          <w:color w:val="auto"/>
          <w:sz w:val="32"/>
          <w:szCs w:val="32"/>
          <w:lang w:val="en-US" w:eastAsia="zh-CN"/>
        </w:rPr>
        <w:t>⑦</w:t>
      </w:r>
      <w:r>
        <w:rPr>
          <w:rFonts w:hint="eastAsia" w:ascii="仿宋_GB2312" w:hAnsi="仿宋_GB2312" w:eastAsia="仿宋_GB2312" w:cs="仿宋_GB2312"/>
          <w:color w:val="auto"/>
          <w:sz w:val="32"/>
          <w:szCs w:val="32"/>
          <w:lang w:val="en-US" w:eastAsia="zh-CN"/>
        </w:rPr>
        <w:t>取得其他创新性成果（例如专著、标准、新产品等），经学院研究生招生工作小组认定可作为申请条件；</w:t>
      </w:r>
    </w:p>
    <w:p w14:paraId="3844F3B1">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微软雅黑" w:hAnsi="微软雅黑" w:eastAsia="微软雅黑" w:cs="微软雅黑"/>
          <w:color w:val="auto"/>
          <w:sz w:val="32"/>
          <w:szCs w:val="32"/>
          <w:lang w:val="en-US" w:eastAsia="zh-CN"/>
        </w:rPr>
        <w:t>⑧</w:t>
      </w:r>
      <w:r>
        <w:rPr>
          <w:rFonts w:hint="eastAsia" w:ascii="仿宋_GB2312" w:hAnsi="仿宋_GB2312" w:eastAsia="仿宋_GB2312" w:cs="仿宋_GB2312"/>
          <w:color w:val="auto"/>
          <w:sz w:val="32"/>
          <w:szCs w:val="32"/>
          <w:lang w:val="en-US" w:eastAsia="zh-CN"/>
        </w:rPr>
        <w:t>对于确有特殊学术专长和突出科研能力，并于近5年内在本学科领域已取得较为突出科研成果的申请者，可不受</w:t>
      </w:r>
    </w:p>
    <w:p w14:paraId="34A3E8B6">
      <w:pPr>
        <w:keepNext w:val="0"/>
        <w:keepLines w:val="0"/>
        <w:pageBreakBefore w:val="0"/>
        <w:kinsoku/>
        <w:wordWrap/>
        <w:overflowPunct/>
        <w:topLinePunct w:val="0"/>
        <w:autoSpaceDE/>
        <w:autoSpaceDN/>
        <w:bidi w:val="0"/>
        <w:spacing w:beforeLines="0" w:afterLines="0"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上述条件限制，但须提供相关证明材料（如高水平学术论文或省部级及以上科研成果奖等），经学院研究生招生工作小组审议后，报研究生院审核。</w:t>
      </w:r>
    </w:p>
    <w:p w14:paraId="6B700DA2">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000000" w:themeColor="text1"/>
          <w:sz w:val="32"/>
          <w:szCs w:val="32"/>
          <w14:textFill>
            <w14:solidFill>
              <w14:schemeClr w14:val="tx1"/>
            </w14:solidFill>
          </w14:textFill>
        </w:rPr>
        <w:t>每一个报考导师在一个专业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至少</w:t>
      </w:r>
      <w:r>
        <w:rPr>
          <w:rFonts w:hint="eastAsia" w:ascii="仿宋_GB2312" w:hAnsi="仿宋_GB2312" w:eastAsia="仿宋_GB2312" w:cs="仿宋_GB2312"/>
          <w:color w:val="000000" w:themeColor="text1"/>
          <w:sz w:val="32"/>
          <w:szCs w:val="32"/>
          <w14:textFill>
            <w14:solidFill>
              <w14:schemeClr w14:val="tx1"/>
            </w14:solidFill>
          </w14:textFill>
        </w:rPr>
        <w:t>推荐不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少于</w:t>
      </w:r>
      <w:r>
        <w:rPr>
          <w:rFonts w:hint="eastAsia" w:ascii="仿宋_GB2312" w:hAnsi="仿宋_GB2312" w:eastAsia="仿宋_GB2312" w:cs="仿宋_GB2312"/>
          <w:color w:val="000000" w:themeColor="text1"/>
          <w:sz w:val="32"/>
          <w:szCs w:val="32"/>
          <w14:textFill>
            <w14:solidFill>
              <w14:schemeClr w14:val="tx1"/>
            </w14:solidFill>
          </w14:textFill>
        </w:rPr>
        <w:t>2名考生参加“申请-考核”制（含硕博连读）选拔。</w:t>
      </w:r>
    </w:p>
    <w:p w14:paraId="27C1849E">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四、报名程序</w:t>
      </w:r>
    </w:p>
    <w:p w14:paraId="4745BA38">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（一）网上报名：申请人须在规定时间内登录http://gsas.ncu.edu.cn/（南昌大学研究生报考服务系统）</w:t>
      </w:r>
      <w:r>
        <w:rPr>
          <w:rFonts w:hint="eastAsia" w:ascii="仿宋_GB2312" w:hAnsi="仿宋_GB2312" w:eastAsia="仿宋_GB2312" w:cs="仿宋_GB2312"/>
          <w:color w:val="auto"/>
          <w:sz w:val="32"/>
          <w:szCs w:val="32"/>
          <w:lang w:val="en-US" w:eastAsia="zh-CN"/>
        </w:rPr>
        <w:t>进行报名</w:t>
      </w:r>
      <w:r>
        <w:rPr>
          <w:rFonts w:hint="eastAsia" w:ascii="仿宋_GB2312" w:hAnsi="仿宋_GB2312" w:eastAsia="仿宋_GB2312" w:cs="仿宋_GB2312"/>
          <w:color w:val="auto"/>
          <w:sz w:val="32"/>
          <w:szCs w:val="32"/>
        </w:rPr>
        <w:t>，先按要求注册用户，再进行报名；注册用户仅对当前批次有效，之前批次报考或注册过的考生仍需重新注册用户，如实填写和提交报名信息。纸质的报名材料</w:t>
      </w:r>
      <w:r>
        <w:rPr>
          <w:rFonts w:hint="eastAsia" w:ascii="仿宋_GB2312" w:hAnsi="仿宋_GB2312" w:eastAsia="仿宋_GB2312" w:cs="仿宋_GB2312"/>
          <w:color w:val="auto"/>
          <w:sz w:val="32"/>
          <w:szCs w:val="32"/>
          <w:lang w:val="en-US" w:eastAsia="zh-CN"/>
        </w:rPr>
        <w:t>请</w:t>
      </w:r>
      <w:r>
        <w:rPr>
          <w:rFonts w:hint="eastAsia" w:ascii="仿宋_GB2312" w:hAnsi="仿宋_GB2312" w:eastAsia="仿宋_GB2312" w:cs="仿宋_GB2312"/>
          <w:color w:val="auto"/>
          <w:sz w:val="32"/>
          <w:szCs w:val="32"/>
        </w:rPr>
        <w:t>交到南昌大学信息工程</w:t>
      </w:r>
      <w:r>
        <w:rPr>
          <w:rFonts w:hint="eastAsia" w:ascii="仿宋_GB2312" w:hAnsi="仿宋_GB2312" w:eastAsia="仿宋_GB2312" w:cs="仿宋_GB2312"/>
          <w:color w:val="auto"/>
          <w:sz w:val="32"/>
          <w:szCs w:val="32"/>
          <w:lang w:val="en-US" w:eastAsia="zh-CN"/>
        </w:rPr>
        <w:t>学院</w:t>
      </w:r>
      <w:r>
        <w:rPr>
          <w:rFonts w:hint="eastAsia" w:ascii="仿宋_GB2312" w:hAnsi="仿宋_GB2312" w:eastAsia="仿宋_GB2312" w:cs="仿宋_GB2312"/>
          <w:color w:val="auto"/>
          <w:sz w:val="32"/>
          <w:szCs w:val="32"/>
        </w:rPr>
        <w:t>。</w:t>
      </w:r>
    </w:p>
    <w:p w14:paraId="75190E51">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（二）报名提交材料清单</w:t>
      </w:r>
    </w:p>
    <w:p w14:paraId="2F4F6C1B">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rPr>
        <w:t>《南昌大学报考攻读博士研究生登记表》及《南昌大学博士研究生报考资格审查表》（内含专家推荐信、思想政治审查表等）原件。其中《南昌大学报考攻读博士研究生登记表》在“南昌大学研究生报考服务系统”网报完成后可生成电子版下载，确认信息无误后打印并签名。《南昌大学博士研究生报考资格审查表》可在研究生院下载中心或“南昌大学研究生报考服务系统”中下载。</w:t>
      </w:r>
    </w:p>
    <w:p w14:paraId="580C1731">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rPr>
        <w:t>本人学历证书、学位证书、二代身份证复印件。</w:t>
      </w:r>
    </w:p>
    <w:p w14:paraId="368A8218">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（1）硕士学历证书、学位证书。</w:t>
      </w:r>
    </w:p>
    <w:p w14:paraId="26C8D689">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应届硕士生：硕士研究生证复印件；研究生管理部门的证明；《教育部学籍在线验证报告》（可在中国高等教育学生信息网上注册申请）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最迟须在入学前取得硕士学位。</w:t>
      </w:r>
    </w:p>
    <w:p w14:paraId="0D5BC867">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已获硕士学位者：研究生学历证书、硕士学位证书复印件；《教育部学历证书电子注册备案表》；《学位证书认证报告》。</w:t>
      </w:r>
    </w:p>
    <w:p w14:paraId="6E934D48">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国（境）外学历考生须提交教育部留学服务中心国外学历学位认证报告。</w:t>
      </w:r>
    </w:p>
    <w:p w14:paraId="7BE77777">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（2）本科学历证书、学士学位证书复印件；《教育部学历证书电子注册备案表》；《学位证书认证报告》。</w:t>
      </w:r>
    </w:p>
    <w:p w14:paraId="56A73BCE">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rPr>
        <w:t>硕士成绩单（在校研究生到本校研究生院培养部门办理并加盖公章，在职人员从本人人事档案中复印并加盖档案管理部门公章）。</w:t>
      </w:r>
    </w:p>
    <w:p w14:paraId="0976FCA5">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rPr>
        <w:t>英语水平成绩证明。</w:t>
      </w:r>
    </w:p>
    <w:p w14:paraId="6512FE57">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rPr>
        <w:t>获奖证书复印件、公开发表的学术论文、所获专利、出版专著及其他原创性研究成果的证明材料。</w:t>
      </w:r>
    </w:p>
    <w:p w14:paraId="1C81B510">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rPr>
        <w:t>硕士学位论文情况：已获硕士学位者介绍硕士学位论文概要和创新情况等，并提供硕士论文（附评阅书或评议书），应届硕士生介绍硕士学位论文开题报告及研究进展等。</w:t>
      </w:r>
    </w:p>
    <w:p w14:paraId="5FFB544F">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rPr>
        <w:t>自我评价和经报考导师（本实施细则中第二条指定的招生导师）审核的拟攻读博士学位的研究计划书（计划书不少于5000字），需报考导师签字。</w:t>
      </w:r>
    </w:p>
    <w:p w14:paraId="119E6223">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申请人必须保证所有申请材料的真实性和准确性，入学时须核验以上材料的原件，一旦发现弄虚作假，将取消其申请资格、录取资格或学籍。</w:t>
      </w:r>
    </w:p>
    <w:p w14:paraId="5EE84768">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bookmarkStart w:id="0" w:name="_Hlk56885432"/>
      <w:r>
        <w:rPr>
          <w:rFonts w:hint="eastAsia" w:ascii="仿宋_GB2312" w:hAnsi="仿宋_GB2312" w:eastAsia="仿宋_GB2312" w:cs="仿宋_GB2312"/>
          <w:color w:val="auto"/>
          <w:sz w:val="32"/>
          <w:szCs w:val="32"/>
        </w:rPr>
        <w:t>（三）材料提交时间、方式和地址</w:t>
      </w:r>
    </w:p>
    <w:p w14:paraId="278DEB4E">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rPr>
        <w:t>提交申请材料的方式：邮寄或者现场提交</w:t>
      </w:r>
    </w:p>
    <w:p w14:paraId="5888BA32">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（1）现场提交，材料装袋后直接送到南昌大学前湖校区信息工程学院</w:t>
      </w:r>
      <w:r>
        <w:rPr>
          <w:rFonts w:hint="eastAsia" w:ascii="仿宋_GB2312" w:hAnsi="仿宋_GB2312" w:eastAsia="仿宋_GB2312" w:cs="仿宋_GB2312"/>
          <w:color w:val="auto"/>
          <w:sz w:val="32"/>
          <w:szCs w:val="32"/>
          <w:lang w:val="en-US" w:eastAsia="zh-CN"/>
        </w:rPr>
        <w:t>信工</w:t>
      </w:r>
      <w:r>
        <w:rPr>
          <w:rFonts w:hint="eastAsia" w:ascii="仿宋_GB2312" w:hAnsi="仿宋_GB2312" w:eastAsia="仿宋_GB2312" w:cs="仿宋_GB2312"/>
          <w:color w:val="auto"/>
          <w:sz w:val="32"/>
          <w:szCs w:val="32"/>
          <w:lang w:eastAsia="zh-CN"/>
        </w:rPr>
        <w:t>楼</w:t>
      </w:r>
      <w:r>
        <w:rPr>
          <w:rFonts w:hint="eastAsia" w:ascii="仿宋_GB2312" w:hAnsi="仿宋_GB2312" w:eastAsia="仿宋_GB2312" w:cs="仿宋_GB2312"/>
          <w:color w:val="auto"/>
          <w:sz w:val="32"/>
          <w:szCs w:val="32"/>
          <w:lang w:val="en-US" w:eastAsia="zh-CN"/>
        </w:rPr>
        <w:t>A626</w:t>
      </w:r>
      <w:r>
        <w:rPr>
          <w:rFonts w:hint="eastAsia" w:ascii="仿宋_GB2312" w:hAnsi="仿宋_GB2312" w:eastAsia="仿宋_GB2312" w:cs="仿宋_GB2312"/>
          <w:color w:val="auto"/>
          <w:sz w:val="32"/>
          <w:szCs w:val="32"/>
        </w:rPr>
        <w:t>办公室，材料接收人为</w:t>
      </w:r>
      <w:r>
        <w:rPr>
          <w:rFonts w:hint="eastAsia" w:ascii="仿宋_GB2312" w:hAnsi="仿宋_GB2312" w:eastAsia="仿宋_GB2312" w:cs="仿宋_GB2312"/>
          <w:color w:val="auto"/>
          <w:sz w:val="32"/>
          <w:szCs w:val="32"/>
          <w:lang w:eastAsia="zh-CN"/>
        </w:rPr>
        <w:t>周</w:t>
      </w:r>
      <w:r>
        <w:rPr>
          <w:rFonts w:hint="eastAsia" w:ascii="仿宋_GB2312" w:hAnsi="仿宋_GB2312" w:eastAsia="仿宋_GB2312" w:cs="仿宋_GB2312"/>
          <w:color w:val="auto"/>
          <w:sz w:val="32"/>
          <w:szCs w:val="32"/>
        </w:rPr>
        <w:t>老师</w:t>
      </w:r>
      <w:r>
        <w:rPr>
          <w:rFonts w:hint="eastAsia" w:ascii="仿宋_GB2312" w:hAnsi="仿宋_GB2312" w:eastAsia="仿宋_GB2312" w:cs="仿宋_GB2312"/>
          <w:color w:val="auto"/>
          <w:sz w:val="32"/>
          <w:szCs w:val="32"/>
          <w:lang w:val="en-US" w:eastAsia="zh-CN"/>
        </w:rPr>
        <w:t>或者蒋老师</w:t>
      </w:r>
      <w:r>
        <w:rPr>
          <w:rFonts w:hint="eastAsia" w:ascii="仿宋_GB2312" w:hAnsi="仿宋_GB2312" w:eastAsia="仿宋_GB2312" w:cs="仿宋_GB2312"/>
          <w:color w:val="auto"/>
          <w:sz w:val="32"/>
          <w:szCs w:val="32"/>
        </w:rPr>
        <w:t>；</w:t>
      </w:r>
    </w:p>
    <w:p w14:paraId="59FB7345">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（2）快递邮寄（为保障材料寄送的及时性与安全性，</w:t>
      </w:r>
      <w:r>
        <w:rPr>
          <w:rFonts w:hint="eastAsia" w:ascii="仿宋_GB2312" w:hAnsi="仿宋_GB2312" w:eastAsia="仿宋_GB2312" w:cs="仿宋_GB2312"/>
          <w:color w:val="auto"/>
          <w:sz w:val="32"/>
          <w:szCs w:val="32"/>
          <w:lang w:val="en-US" w:eastAsia="zh-CN"/>
        </w:rPr>
        <w:t>建议</w:t>
      </w:r>
      <w:r>
        <w:rPr>
          <w:rFonts w:hint="eastAsia" w:ascii="仿宋_GB2312" w:hAnsi="仿宋_GB2312" w:eastAsia="仿宋_GB2312" w:cs="仿宋_GB2312"/>
          <w:color w:val="auto"/>
          <w:sz w:val="32"/>
          <w:szCs w:val="32"/>
        </w:rPr>
        <w:t>使用顺丰速运），寄送到“江西省南昌市</w:t>
      </w:r>
      <w:r>
        <w:rPr>
          <w:rFonts w:hint="eastAsia" w:ascii="仿宋_GB2312" w:hAnsi="仿宋_GB2312" w:eastAsia="仿宋_GB2312" w:cs="仿宋_GB2312"/>
          <w:color w:val="auto"/>
          <w:sz w:val="32"/>
          <w:szCs w:val="32"/>
          <w:lang w:eastAsia="zh-CN"/>
        </w:rPr>
        <w:t>红谷滩区</w:t>
      </w:r>
      <w:r>
        <w:rPr>
          <w:rFonts w:hint="eastAsia" w:ascii="仿宋_GB2312" w:hAnsi="仿宋_GB2312" w:eastAsia="仿宋_GB2312" w:cs="仿宋_GB2312"/>
          <w:color w:val="auto"/>
          <w:sz w:val="32"/>
          <w:szCs w:val="32"/>
        </w:rPr>
        <w:t>学府大道999号南昌大学信息工程学院</w:t>
      </w:r>
      <w:r>
        <w:rPr>
          <w:rFonts w:hint="eastAsia" w:ascii="仿宋_GB2312" w:hAnsi="仿宋_GB2312" w:eastAsia="仿宋_GB2312" w:cs="仿宋_GB2312"/>
          <w:color w:val="auto"/>
          <w:sz w:val="32"/>
          <w:szCs w:val="32"/>
          <w:lang w:val="en-US" w:eastAsia="zh-CN"/>
        </w:rPr>
        <w:t>蒋</w:t>
      </w:r>
      <w:r>
        <w:rPr>
          <w:rFonts w:hint="eastAsia" w:ascii="仿宋_GB2312" w:hAnsi="仿宋_GB2312" w:eastAsia="仿宋_GB2312" w:cs="仿宋_GB2312"/>
          <w:color w:val="auto"/>
          <w:sz w:val="32"/>
          <w:szCs w:val="32"/>
        </w:rPr>
        <w:t>老师（电话：</w:t>
      </w:r>
      <w:r>
        <w:rPr>
          <w:rFonts w:hint="eastAsia" w:ascii="仿宋_GB2312" w:hAnsi="仿宋_GB2312" w:eastAsia="仿宋_GB2312" w:cs="仿宋_GB2312"/>
          <w:color w:val="auto"/>
          <w:sz w:val="32"/>
          <w:szCs w:val="32"/>
          <w:lang w:val="en-US" w:eastAsia="zh-CN"/>
        </w:rPr>
        <w:t>1387016485</w:t>
      </w:r>
      <w:r>
        <w:rPr>
          <w:rFonts w:hint="eastAsia" w:ascii="仿宋_GB2312" w:hAnsi="仿宋_GB2312" w:eastAsia="仿宋_GB2312" w:cs="仿宋_GB2312"/>
          <w:color w:val="auto"/>
          <w:sz w:val="32"/>
          <w:szCs w:val="32"/>
        </w:rPr>
        <w:t>）”。准备和寄送材料过程中遇到问题可咨询</w:t>
      </w:r>
      <w:r>
        <w:rPr>
          <w:rFonts w:hint="eastAsia" w:ascii="仿宋_GB2312" w:hAnsi="仿宋_GB2312" w:eastAsia="仿宋_GB2312" w:cs="仿宋_GB2312"/>
          <w:color w:val="auto"/>
          <w:sz w:val="32"/>
          <w:szCs w:val="32"/>
          <w:lang w:val="en-US" w:eastAsia="zh-CN"/>
        </w:rPr>
        <w:t>蒋</w:t>
      </w:r>
      <w:r>
        <w:rPr>
          <w:rFonts w:hint="eastAsia" w:ascii="仿宋_GB2312" w:hAnsi="仿宋_GB2312" w:eastAsia="仿宋_GB2312" w:cs="仿宋_GB2312"/>
          <w:color w:val="auto"/>
          <w:sz w:val="32"/>
          <w:szCs w:val="32"/>
        </w:rPr>
        <w:t>老师。快递寄出后请跟踪快递签收情况并向</w:t>
      </w:r>
      <w:r>
        <w:rPr>
          <w:rFonts w:hint="eastAsia" w:ascii="仿宋_GB2312" w:hAnsi="仿宋_GB2312" w:eastAsia="仿宋_GB2312" w:cs="仿宋_GB2312"/>
          <w:color w:val="auto"/>
          <w:sz w:val="32"/>
          <w:szCs w:val="32"/>
          <w:lang w:val="en-US" w:eastAsia="zh-CN"/>
        </w:rPr>
        <w:t>蒋</w:t>
      </w:r>
      <w:r>
        <w:rPr>
          <w:rFonts w:hint="eastAsia" w:ascii="仿宋_GB2312" w:hAnsi="仿宋_GB2312" w:eastAsia="仿宋_GB2312" w:cs="仿宋_GB2312"/>
          <w:color w:val="auto"/>
          <w:sz w:val="32"/>
          <w:szCs w:val="32"/>
        </w:rPr>
        <w:t>老师确认材料收到情况。</w:t>
      </w:r>
    </w:p>
    <w:bookmarkEnd w:id="0"/>
    <w:p w14:paraId="19D627E3">
      <w:pPr>
        <w:keepNext w:val="0"/>
        <w:keepLines w:val="0"/>
        <w:pageBreakBefore w:val="0"/>
        <w:kinsoku/>
        <w:wordWrap/>
        <w:overflowPunct/>
        <w:topLinePunct w:val="0"/>
        <w:autoSpaceDE/>
        <w:autoSpaceDN/>
        <w:bidi w:val="0"/>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rPr>
      </w:pPr>
      <w:bookmarkStart w:id="1" w:name="_Hlk56885479"/>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rPr>
        <w:t>联系方式：南昌大学信息工程学院</w:t>
      </w:r>
      <w:r>
        <w:rPr>
          <w:rFonts w:hint="eastAsia" w:ascii="仿宋_GB2312" w:hAnsi="仿宋_GB2312" w:eastAsia="仿宋_GB2312" w:cs="仿宋_GB2312"/>
          <w:color w:val="auto"/>
          <w:sz w:val="32"/>
          <w:szCs w:val="32"/>
          <w:lang w:eastAsia="zh-CN"/>
        </w:rPr>
        <w:t>周</w:t>
      </w:r>
      <w:r>
        <w:rPr>
          <w:rFonts w:hint="eastAsia" w:ascii="仿宋_GB2312" w:hAnsi="仿宋_GB2312" w:eastAsia="仿宋_GB2312" w:cs="仿宋_GB2312"/>
          <w:color w:val="auto"/>
          <w:sz w:val="32"/>
          <w:szCs w:val="32"/>
        </w:rPr>
        <w:t>老师</w:t>
      </w:r>
      <w:r>
        <w:rPr>
          <w:rFonts w:hint="eastAsia" w:ascii="仿宋_GB2312" w:hAnsi="仿宋_GB2312" w:eastAsia="仿宋_GB2312" w:cs="仿宋_GB2312"/>
          <w:color w:val="auto"/>
          <w:sz w:val="32"/>
          <w:szCs w:val="32"/>
          <w:lang w:val="en-US" w:eastAsia="zh-CN"/>
        </w:rPr>
        <w:t>或蒋老师13870896965、13870916485</w:t>
      </w:r>
      <w:r>
        <w:rPr>
          <w:rFonts w:hint="eastAsia" w:ascii="仿宋_GB2312" w:hAnsi="仿宋_GB2312" w:eastAsia="仿宋_GB2312" w:cs="仿宋_GB2312"/>
          <w:color w:val="auto"/>
          <w:sz w:val="32"/>
          <w:szCs w:val="32"/>
        </w:rPr>
        <w:t>或0791-83969613</w:t>
      </w:r>
      <w:r>
        <w:rPr>
          <w:rFonts w:hint="eastAsia" w:ascii="仿宋_GB2312" w:hAnsi="仿宋_GB2312" w:eastAsia="仿宋_GB2312" w:cs="仿宋_GB2312"/>
          <w:color w:val="auto"/>
          <w:sz w:val="32"/>
          <w:szCs w:val="32"/>
          <w:lang w:eastAsia="zh-CN"/>
        </w:rPr>
        <w:t>。</w:t>
      </w:r>
      <w:bookmarkEnd w:id="1"/>
    </w:p>
    <w:p w14:paraId="49998E5A">
      <w:pPr>
        <w:keepNext w:val="0"/>
        <w:keepLines w:val="0"/>
        <w:pageBreakBefore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bookmarkStart w:id="2" w:name="_Hlk56885589"/>
      <w:r>
        <w:rPr>
          <w:rFonts w:hint="eastAsia" w:ascii="仿宋_GB2312" w:hAnsi="仿宋_GB2312" w:eastAsia="仿宋_GB2312" w:cs="仿宋_GB2312"/>
          <w:b/>
          <w:bCs/>
          <w:i w:val="0"/>
          <w:iCs w:val="0"/>
          <w:caps w:val="0"/>
          <w:color w:val="auto"/>
          <w:spacing w:val="0"/>
          <w:sz w:val="32"/>
          <w:szCs w:val="32"/>
          <w:shd w:val="clear" w:fill="FFFFFF"/>
          <w:lang w:val="en-US" w:eastAsia="zh-CN"/>
        </w:rPr>
        <w:t>五、资格审核与材料评议细则</w:t>
      </w:r>
    </w:p>
    <w:p w14:paraId="58390376">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学位点成立资格审核小组，根据申请条件，对申请人进行资格初审。只有满足招生对象要求以及符合全部报考条件的申请人，才能通过资格初审。</w:t>
      </w:r>
    </w:p>
    <w:p w14:paraId="03D8F1DC">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学位点成立材料评议小组，由3名及以上博士生导师（含招生导师）组成，对申请者提交的申请材料进行评议。</w:t>
      </w:r>
    </w:p>
    <w:p w14:paraId="4686DD50">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材料评议成绩分值为100分，具体标准如下：</w:t>
      </w:r>
    </w:p>
    <w:p w14:paraId="6BB2230A">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基本素质（分值50分）。由评议小组根据申请人硕士就读院校、硕士所读学科排名、本科与硕士所学专业与信息与通信工程专业的相近度、硕士期间学业成绩、英语水平等指标，进行打分。</w:t>
      </w:r>
    </w:p>
    <w:p w14:paraId="04E25BC4">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科</w:t>
      </w:r>
      <w:r>
        <w:rPr>
          <w:rFonts w:hint="eastAsia" w:ascii="仿宋_GB2312" w:hAnsi="仿宋_GB2312" w:eastAsia="仿宋_GB2312" w:cs="仿宋_GB2312"/>
          <w:color w:val="auto"/>
          <w:sz w:val="32"/>
          <w:szCs w:val="32"/>
        </w:rPr>
        <w:t>研能力（分值30分）。由评议小组根据申请人硕士学位论文、发表论文、主持或参与科研项目、出版学术专著、科研奖励情况以及获得授权发明专利、软件著作权等情况，进行打分。</w:t>
      </w:r>
    </w:p>
    <w:p w14:paraId="69F75889">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rPr>
        <w:t>创新潜质（分值20分）。由评议小组根据教授推荐信、学生自我评价、研究计划书进行综合判断和打分。</w:t>
      </w:r>
    </w:p>
    <w:p w14:paraId="65AB28B8">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每位申请者的</w:t>
      </w:r>
      <w:bookmarkStart w:id="3" w:name="_Hlk56883921"/>
      <w:r>
        <w:rPr>
          <w:rFonts w:hint="eastAsia" w:ascii="仿宋_GB2312" w:hAnsi="仿宋_GB2312" w:eastAsia="仿宋_GB2312" w:cs="仿宋_GB2312"/>
          <w:color w:val="auto"/>
          <w:sz w:val="32"/>
          <w:szCs w:val="32"/>
        </w:rPr>
        <w:t>材料评议</w:t>
      </w:r>
      <w:bookmarkEnd w:id="3"/>
      <w:r>
        <w:rPr>
          <w:rFonts w:hint="eastAsia" w:ascii="仿宋_GB2312" w:hAnsi="仿宋_GB2312" w:eastAsia="仿宋_GB2312" w:cs="仿宋_GB2312"/>
          <w:color w:val="auto"/>
          <w:sz w:val="32"/>
          <w:szCs w:val="32"/>
        </w:rPr>
        <w:t>成绩为全部评议小组打分的平均值。材料评议成绩≥60分视为合格，评议合格名单经学院研究生招生工作小组同意，报研究生院审核后由信息工程学院公示。公示无异议的申请人进入综合考核环节。</w:t>
      </w:r>
    </w:p>
    <w:bookmarkEnd w:id="2"/>
    <w:p w14:paraId="3EA1BBD2">
      <w:pPr>
        <w:keepNext w:val="0"/>
        <w:keepLines w:val="0"/>
        <w:pageBreakBefore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bookmarkStart w:id="4" w:name="_Hlk56886409"/>
      <w:r>
        <w:rPr>
          <w:rFonts w:hint="eastAsia" w:ascii="仿宋_GB2312" w:hAnsi="仿宋_GB2312" w:eastAsia="仿宋_GB2312" w:cs="仿宋_GB2312"/>
          <w:b/>
          <w:bCs/>
          <w:i w:val="0"/>
          <w:iCs w:val="0"/>
          <w:caps w:val="0"/>
          <w:color w:val="auto"/>
          <w:spacing w:val="0"/>
          <w:sz w:val="32"/>
          <w:szCs w:val="32"/>
          <w:shd w:val="clear" w:fill="FFFFFF"/>
          <w:lang w:val="en-US" w:eastAsia="zh-CN"/>
        </w:rPr>
        <w:t>六、综合考核</w:t>
      </w:r>
    </w:p>
    <w:p w14:paraId="3CCB3523">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学位点成立不少于5位博士生导师（含招生导师）组成的综合考核小组，对申请人进行综合考核。综合考核内容主要包括外国语水平测试、专业基础考试、综合面试等。</w:t>
      </w:r>
    </w:p>
    <w:p w14:paraId="734930B8">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（一）外国语水平测试：对考生的外语应用能力进行测试，主要考核外语写作、文献阅读及口语交流能力，分值100分，合格线60分。</w:t>
      </w:r>
    </w:p>
    <w:p w14:paraId="5C2B238E">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（二）专业基础考核：主要考核本学科专业基础理论和专业知识，分值100分，合格线60分。</w:t>
      </w:r>
    </w:p>
    <w:p w14:paraId="1D5915D6">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综合面试：重点考核申请人思想政治素质和品德、硕士课程学习情况、综合运用所学知识的能力、科研创新能力、对本学科前沿领域及最新研究动态的掌握情况及是否具备博士生培养的潜质等，分值100分，合格线60分。</w:t>
      </w:r>
    </w:p>
    <w:p w14:paraId="3B79E5C7">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综合考核总分100分。折算方法：综合考核成绩=20%*外国语水平测试成绩+40%*专业基础考核成绩+40%*综合面试成绩。</w:t>
      </w:r>
    </w:p>
    <w:p w14:paraId="07DC8AC8">
      <w:pPr>
        <w:keepNext w:val="0"/>
        <w:keepLines w:val="0"/>
        <w:pageBreakBefore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i w:val="0"/>
          <w:iCs w:val="0"/>
          <w:caps w:val="0"/>
          <w:color w:val="auto"/>
          <w:spacing w:val="0"/>
          <w:sz w:val="32"/>
          <w:szCs w:val="32"/>
          <w:shd w:val="clear" w:fill="FFFFFF"/>
          <w:lang w:val="en-US" w:eastAsia="zh-CN"/>
        </w:rPr>
      </w:pPr>
      <w:r>
        <w:rPr>
          <w:rFonts w:hint="eastAsia" w:ascii="仿宋_GB2312" w:hAnsi="仿宋_GB2312" w:eastAsia="仿宋_GB2312" w:cs="仿宋_GB2312"/>
          <w:b/>
          <w:bCs/>
          <w:i w:val="0"/>
          <w:iCs w:val="0"/>
          <w:caps w:val="0"/>
          <w:color w:val="auto"/>
          <w:spacing w:val="0"/>
          <w:sz w:val="32"/>
          <w:szCs w:val="32"/>
          <w:shd w:val="clear" w:fill="FFFFFF"/>
          <w:lang w:val="en-US" w:eastAsia="zh-CN"/>
        </w:rPr>
        <w:t>七、录取</w:t>
      </w:r>
    </w:p>
    <w:p w14:paraId="2F0CEB39">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rPr>
        <w:t>综合考核≥60分的申请人，按综合考核成绩排名，择优录取。学院</w:t>
      </w:r>
      <w:r>
        <w:rPr>
          <w:rFonts w:hint="eastAsia" w:ascii="仿宋_GB2312" w:hAnsi="仿宋_GB2312" w:eastAsia="仿宋_GB2312" w:cs="仿宋_GB2312"/>
          <w:color w:val="auto"/>
          <w:sz w:val="32"/>
          <w:szCs w:val="32"/>
          <w:highlight w:val="none"/>
          <w:lang w:val="en-US" w:eastAsia="zh-CN"/>
        </w:rPr>
        <w:t>博士</w:t>
      </w:r>
      <w:r>
        <w:rPr>
          <w:rFonts w:hint="eastAsia" w:ascii="仿宋_GB2312" w:hAnsi="仿宋_GB2312" w:eastAsia="仿宋_GB2312" w:cs="仿宋_GB2312"/>
          <w:color w:val="auto"/>
          <w:sz w:val="32"/>
          <w:szCs w:val="32"/>
          <w:highlight w:val="none"/>
        </w:rPr>
        <w:t>招生工作领导小组根据博导招生资格和考生综合考核成绩排序，若有多人报考同一导师的，还需要同时进行组内排序，结合博导招生数限额和当年度博士生招生计</w:t>
      </w:r>
      <w:r>
        <w:rPr>
          <w:rFonts w:hint="eastAsia" w:ascii="仿宋_GB2312" w:hAnsi="仿宋_GB2312" w:eastAsia="仿宋_GB2312" w:cs="仿宋_GB2312"/>
          <w:color w:val="000000" w:themeColor="text1"/>
          <w:sz w:val="32"/>
          <w:szCs w:val="32"/>
          <w:highlight w:val="none"/>
          <w14:textFill>
            <w14:solidFill>
              <w14:schemeClr w14:val="tx1"/>
            </w14:solidFill>
          </w14:textFill>
        </w:rPr>
        <w:t>划，择优提出拟录取名单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按照学科方向综合成绩排序提出替补名单</w:t>
      </w:r>
      <w:r>
        <w:rPr>
          <w:rFonts w:hint="eastAsia" w:ascii="仿宋_GB2312" w:hAnsi="仿宋_GB2312" w:eastAsia="仿宋_GB2312" w:cs="仿宋_GB2312"/>
          <w:color w:val="000000" w:themeColor="text1"/>
          <w:sz w:val="32"/>
          <w:szCs w:val="32"/>
          <w:highlight w:val="none"/>
          <w14:textFill>
            <w14:solidFill>
              <w14:schemeClr w14:val="tx1"/>
            </w14:solidFill>
          </w14:textFill>
        </w:rPr>
        <w:t>。拟录取名单报研究生院审核、校研究生招生领导小组审批后公示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若有考生放弃待录取则按报考导师名下考生优先、考生自愿的情况下择优录取替补考生；若导师第一批次没有招到合格考生，可延至第二批招考或按专业从合格替补考生中择优录取；第二批次导师可直接从本专业第一批次合格替补考生中择优录取。</w:t>
      </w:r>
    </w:p>
    <w:p w14:paraId="6284126F">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直博生已按照《南昌大学信息工程学院推荐优秀应届本科毕业生免试攻读研究生工作实施细则》进行推荐，并按照南昌大学信息工程学院接收推荐免试研究生工作流程进行接收。</w:t>
      </w:r>
    </w:p>
    <w:p w14:paraId="2DCF7E08">
      <w:pPr>
        <w:keepNext w:val="0"/>
        <w:keepLines w:val="0"/>
        <w:pageBreakBefore w:val="0"/>
        <w:kinsoku/>
        <w:wordWrap/>
        <w:overflowPunct/>
        <w:topLinePunct w:val="0"/>
        <w:autoSpaceDE/>
        <w:autoSpaceDN/>
        <w:bidi w:val="0"/>
        <w:adjustRightInd/>
        <w:snapToGrid/>
        <w:spacing w:beforeLines="0" w:afterLines="0" w:line="560" w:lineRule="exact"/>
        <w:ind w:firstLine="643" w:firstLineChars="200"/>
        <w:textAlignment w:val="auto"/>
        <w:rPr>
          <w:rFonts w:hint="eastAsia" w:ascii="仿宋_GB2312" w:hAnsi="仿宋_GB2312" w:eastAsia="仿宋_GB2312" w:cs="仿宋_GB2312"/>
          <w:b/>
          <w:bCs/>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sz w:val="32"/>
          <w:szCs w:val="32"/>
          <w:highlight w:val="none"/>
          <w:shd w:val="clear" w:fill="FFFFFF"/>
          <w:lang w:val="en-US" w:eastAsia="zh-CN"/>
          <w14:textFill>
            <w14:solidFill>
              <w14:schemeClr w14:val="tx1"/>
            </w14:solidFill>
          </w14:textFill>
        </w:rPr>
        <w:t>八、其他说明</w:t>
      </w:r>
    </w:p>
    <w:p w14:paraId="3B0DF4B3">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回避制度。凡与申请人有直系亲属关系的博士生导师不能参加研究生招生工作小组、资格审核小组、材料评议小组和综合考核小组。</w:t>
      </w:r>
    </w:p>
    <w:p w14:paraId="103BDC5F">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纪律要求。学院成立博士招生纪律监督小组，全程监察督导研究生招生工作。对在考核、录取过程中出现徇私舞弊、滥用职权的导师和工作人员，一经查实将给予通报批评，并取消相关导师的导师资格。在报考和考核过程中出现弄虚作假、违纪的申请人，一经查实将永久取消其报考南昌大学博士研究生资格，已被录取者将取消入学资格。</w:t>
      </w:r>
    </w:p>
    <w:p w14:paraId="27F8984E">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考核过程全程录像、录音、记录并留存备查。面试过程要规范操作，要有现场记录、成绩和评语，保证综合考核的公平、公正和有效性。</w:t>
      </w:r>
    </w:p>
    <w:p w14:paraId="5C47AC59">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导师须对所招收博士生的质量严格把关，加强对博士生的思想政治、学术规范、创新能力及科研能力等方面的培养，学院将对博士生的培养质量进行考核及全程跟踪。</w:t>
      </w:r>
    </w:p>
    <w:p w14:paraId="36D073DF">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监督机制。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院</w:t>
      </w:r>
      <w:r>
        <w:rPr>
          <w:rFonts w:hint="eastAsia" w:ascii="仿宋_GB2312" w:hAnsi="仿宋_GB2312" w:eastAsia="仿宋_GB2312" w:cs="仿宋_GB2312"/>
          <w:color w:val="000000" w:themeColor="text1"/>
          <w:sz w:val="32"/>
          <w:szCs w:val="32"/>
          <w14:textFill>
            <w14:solidFill>
              <w14:schemeClr w14:val="tx1"/>
            </w14:solidFill>
          </w14:textFill>
        </w:rPr>
        <w:t>博士研究生招生工作接受申请人和社会的监督，有异议者可向学院研究生招生办提出。联系电话0791-83969613。</w:t>
      </w:r>
    </w:p>
    <w:p w14:paraId="6E8CCA74">
      <w:pPr>
        <w:keepNext w:val="0"/>
        <w:keepLines w:val="0"/>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本实施方案自颁布之日起执行，由信息工程学院负责解释。</w:t>
      </w:r>
      <w:bookmarkEnd w:id="4"/>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kNzY4MjUzMGYxM2Y2MTQ5NDFmNDljMWIxOGM4MTYifQ=="/>
  </w:docVars>
  <w:rsids>
    <w:rsidRoot w:val="2606734B"/>
    <w:rsid w:val="00054714"/>
    <w:rsid w:val="000802DA"/>
    <w:rsid w:val="000A0A23"/>
    <w:rsid w:val="000C3F36"/>
    <w:rsid w:val="001210A4"/>
    <w:rsid w:val="001402D6"/>
    <w:rsid w:val="00150506"/>
    <w:rsid w:val="00157B78"/>
    <w:rsid w:val="00182C7F"/>
    <w:rsid w:val="001F52AC"/>
    <w:rsid w:val="00207852"/>
    <w:rsid w:val="00230DAE"/>
    <w:rsid w:val="002408B9"/>
    <w:rsid w:val="00262615"/>
    <w:rsid w:val="00294959"/>
    <w:rsid w:val="002C300F"/>
    <w:rsid w:val="002F4B1A"/>
    <w:rsid w:val="00301D7F"/>
    <w:rsid w:val="003437ED"/>
    <w:rsid w:val="003550AC"/>
    <w:rsid w:val="003577A2"/>
    <w:rsid w:val="00382C58"/>
    <w:rsid w:val="00392D95"/>
    <w:rsid w:val="003D767C"/>
    <w:rsid w:val="003F286B"/>
    <w:rsid w:val="00400A03"/>
    <w:rsid w:val="00416338"/>
    <w:rsid w:val="00430CB0"/>
    <w:rsid w:val="004A0E44"/>
    <w:rsid w:val="004B439B"/>
    <w:rsid w:val="004E3BCF"/>
    <w:rsid w:val="004F3C8C"/>
    <w:rsid w:val="00535E7A"/>
    <w:rsid w:val="0058169D"/>
    <w:rsid w:val="005A7460"/>
    <w:rsid w:val="0060722C"/>
    <w:rsid w:val="00620DBB"/>
    <w:rsid w:val="006326EB"/>
    <w:rsid w:val="006853CB"/>
    <w:rsid w:val="006A4E66"/>
    <w:rsid w:val="006D5B19"/>
    <w:rsid w:val="006F7B06"/>
    <w:rsid w:val="007013DB"/>
    <w:rsid w:val="00702932"/>
    <w:rsid w:val="00764271"/>
    <w:rsid w:val="007C0C84"/>
    <w:rsid w:val="007D3519"/>
    <w:rsid w:val="007E106A"/>
    <w:rsid w:val="00821557"/>
    <w:rsid w:val="00832FC2"/>
    <w:rsid w:val="008C3DD9"/>
    <w:rsid w:val="009418B2"/>
    <w:rsid w:val="009F01FA"/>
    <w:rsid w:val="009F1313"/>
    <w:rsid w:val="00A013EA"/>
    <w:rsid w:val="00A55480"/>
    <w:rsid w:val="00A72DEA"/>
    <w:rsid w:val="00A748E5"/>
    <w:rsid w:val="00AB5C5D"/>
    <w:rsid w:val="00BA53FC"/>
    <w:rsid w:val="00BC05B7"/>
    <w:rsid w:val="00C3352E"/>
    <w:rsid w:val="00C41911"/>
    <w:rsid w:val="00C71A89"/>
    <w:rsid w:val="00C85F20"/>
    <w:rsid w:val="00C97727"/>
    <w:rsid w:val="00D2711C"/>
    <w:rsid w:val="00DA467E"/>
    <w:rsid w:val="00DF5064"/>
    <w:rsid w:val="00E14913"/>
    <w:rsid w:val="00E51B6B"/>
    <w:rsid w:val="00E62D76"/>
    <w:rsid w:val="00E7089C"/>
    <w:rsid w:val="00E70B1A"/>
    <w:rsid w:val="00ED7E80"/>
    <w:rsid w:val="00EE6CE6"/>
    <w:rsid w:val="00F21696"/>
    <w:rsid w:val="00F56107"/>
    <w:rsid w:val="00F75A19"/>
    <w:rsid w:val="00FD1630"/>
    <w:rsid w:val="011A24F4"/>
    <w:rsid w:val="01514167"/>
    <w:rsid w:val="015974C0"/>
    <w:rsid w:val="015C5E5A"/>
    <w:rsid w:val="01A87AFF"/>
    <w:rsid w:val="01B14C06"/>
    <w:rsid w:val="01D46B46"/>
    <w:rsid w:val="01F64D0F"/>
    <w:rsid w:val="02441F1E"/>
    <w:rsid w:val="02555ED9"/>
    <w:rsid w:val="026B1259"/>
    <w:rsid w:val="02BE3A7E"/>
    <w:rsid w:val="02DE7469"/>
    <w:rsid w:val="03125B78"/>
    <w:rsid w:val="03247659"/>
    <w:rsid w:val="03661A20"/>
    <w:rsid w:val="03724869"/>
    <w:rsid w:val="03C86237"/>
    <w:rsid w:val="03CC21CB"/>
    <w:rsid w:val="04D330E5"/>
    <w:rsid w:val="04D94B9F"/>
    <w:rsid w:val="04E35A1E"/>
    <w:rsid w:val="05524952"/>
    <w:rsid w:val="05614B95"/>
    <w:rsid w:val="05926AFC"/>
    <w:rsid w:val="059565ED"/>
    <w:rsid w:val="05D435B9"/>
    <w:rsid w:val="05E57574"/>
    <w:rsid w:val="0696086E"/>
    <w:rsid w:val="06D03D80"/>
    <w:rsid w:val="06E67100"/>
    <w:rsid w:val="06F86E33"/>
    <w:rsid w:val="0717375D"/>
    <w:rsid w:val="072365A6"/>
    <w:rsid w:val="07506C6F"/>
    <w:rsid w:val="07846919"/>
    <w:rsid w:val="07990616"/>
    <w:rsid w:val="079F5BB0"/>
    <w:rsid w:val="07BC60B3"/>
    <w:rsid w:val="07CD4764"/>
    <w:rsid w:val="084367D4"/>
    <w:rsid w:val="084E1E2F"/>
    <w:rsid w:val="08512C9F"/>
    <w:rsid w:val="08940DDD"/>
    <w:rsid w:val="089963F4"/>
    <w:rsid w:val="08A52FEB"/>
    <w:rsid w:val="08DF64FD"/>
    <w:rsid w:val="09722ECD"/>
    <w:rsid w:val="09C94AB7"/>
    <w:rsid w:val="09F935EE"/>
    <w:rsid w:val="0A3945FA"/>
    <w:rsid w:val="0A430D0D"/>
    <w:rsid w:val="0A4E37B4"/>
    <w:rsid w:val="0A5C5457"/>
    <w:rsid w:val="0A621193"/>
    <w:rsid w:val="0ADF27E4"/>
    <w:rsid w:val="0AEC4F01"/>
    <w:rsid w:val="0AEF054D"/>
    <w:rsid w:val="0BA31A63"/>
    <w:rsid w:val="0BBE4AEF"/>
    <w:rsid w:val="0BDD4DA4"/>
    <w:rsid w:val="0C032502"/>
    <w:rsid w:val="0C252478"/>
    <w:rsid w:val="0C3703FE"/>
    <w:rsid w:val="0C557CE0"/>
    <w:rsid w:val="0C5E598A"/>
    <w:rsid w:val="0C6D3162"/>
    <w:rsid w:val="0C6F7B97"/>
    <w:rsid w:val="0C721436"/>
    <w:rsid w:val="0C727688"/>
    <w:rsid w:val="0C880C59"/>
    <w:rsid w:val="0CD65E68"/>
    <w:rsid w:val="0D0504FC"/>
    <w:rsid w:val="0D562B05"/>
    <w:rsid w:val="0DAF6990"/>
    <w:rsid w:val="0DB25F8E"/>
    <w:rsid w:val="0DC63597"/>
    <w:rsid w:val="0DED16BC"/>
    <w:rsid w:val="0E4422DB"/>
    <w:rsid w:val="0E547045"/>
    <w:rsid w:val="0E6A2D0C"/>
    <w:rsid w:val="0EA77ABC"/>
    <w:rsid w:val="0EB65F51"/>
    <w:rsid w:val="0ECA5559"/>
    <w:rsid w:val="0EE7610B"/>
    <w:rsid w:val="0F827BE2"/>
    <w:rsid w:val="0F9811B3"/>
    <w:rsid w:val="0FA4224E"/>
    <w:rsid w:val="0FE73EE9"/>
    <w:rsid w:val="0FEB1C2B"/>
    <w:rsid w:val="10262C63"/>
    <w:rsid w:val="102A2753"/>
    <w:rsid w:val="103E61FE"/>
    <w:rsid w:val="10727C56"/>
    <w:rsid w:val="10A43CE3"/>
    <w:rsid w:val="112A22DF"/>
    <w:rsid w:val="114A0BD3"/>
    <w:rsid w:val="115B06EA"/>
    <w:rsid w:val="11BF6851"/>
    <w:rsid w:val="12483364"/>
    <w:rsid w:val="124D2729"/>
    <w:rsid w:val="12865C3B"/>
    <w:rsid w:val="12D22C2E"/>
    <w:rsid w:val="12F572F1"/>
    <w:rsid w:val="132C0590"/>
    <w:rsid w:val="13573133"/>
    <w:rsid w:val="13B11899"/>
    <w:rsid w:val="13CC3B21"/>
    <w:rsid w:val="13D74E0E"/>
    <w:rsid w:val="14445DAD"/>
    <w:rsid w:val="14534DA3"/>
    <w:rsid w:val="145A737F"/>
    <w:rsid w:val="14706BA3"/>
    <w:rsid w:val="14C36CD2"/>
    <w:rsid w:val="14D964F6"/>
    <w:rsid w:val="15107A3E"/>
    <w:rsid w:val="15485AF9"/>
    <w:rsid w:val="15512530"/>
    <w:rsid w:val="156E0A75"/>
    <w:rsid w:val="16351E52"/>
    <w:rsid w:val="164756E1"/>
    <w:rsid w:val="16B805C0"/>
    <w:rsid w:val="17033CFE"/>
    <w:rsid w:val="173D7210"/>
    <w:rsid w:val="1763654B"/>
    <w:rsid w:val="1768590F"/>
    <w:rsid w:val="17872239"/>
    <w:rsid w:val="179130B8"/>
    <w:rsid w:val="17A54DB5"/>
    <w:rsid w:val="17B648CC"/>
    <w:rsid w:val="17ED09FD"/>
    <w:rsid w:val="17F673BF"/>
    <w:rsid w:val="186B3909"/>
    <w:rsid w:val="189426D1"/>
    <w:rsid w:val="189C7F66"/>
    <w:rsid w:val="18B3705E"/>
    <w:rsid w:val="18B44891"/>
    <w:rsid w:val="18B51028"/>
    <w:rsid w:val="18DF42F7"/>
    <w:rsid w:val="18F733EE"/>
    <w:rsid w:val="1925034E"/>
    <w:rsid w:val="192D59A1"/>
    <w:rsid w:val="19766A09"/>
    <w:rsid w:val="19AE61A3"/>
    <w:rsid w:val="19D41982"/>
    <w:rsid w:val="19E33973"/>
    <w:rsid w:val="19EC0A79"/>
    <w:rsid w:val="1A2024D1"/>
    <w:rsid w:val="1A4319DA"/>
    <w:rsid w:val="1A6E5932"/>
    <w:rsid w:val="1AA2382E"/>
    <w:rsid w:val="1ABD2416"/>
    <w:rsid w:val="1AFD2812"/>
    <w:rsid w:val="1B031442"/>
    <w:rsid w:val="1B281F85"/>
    <w:rsid w:val="1B395F40"/>
    <w:rsid w:val="1B401473"/>
    <w:rsid w:val="1B542D7A"/>
    <w:rsid w:val="1B60171F"/>
    <w:rsid w:val="1B617245"/>
    <w:rsid w:val="1B80591D"/>
    <w:rsid w:val="1B852F33"/>
    <w:rsid w:val="1B910AFC"/>
    <w:rsid w:val="1BBC26CD"/>
    <w:rsid w:val="1BE04007"/>
    <w:rsid w:val="1C444B9D"/>
    <w:rsid w:val="1C550B58"/>
    <w:rsid w:val="1C737230"/>
    <w:rsid w:val="1C8B27CB"/>
    <w:rsid w:val="1C980A44"/>
    <w:rsid w:val="1CAE0268"/>
    <w:rsid w:val="1CBA09BB"/>
    <w:rsid w:val="1CC935F7"/>
    <w:rsid w:val="1CCC6940"/>
    <w:rsid w:val="1D04257E"/>
    <w:rsid w:val="1D4400EF"/>
    <w:rsid w:val="1D4E55A7"/>
    <w:rsid w:val="1D8D4321"/>
    <w:rsid w:val="1DB25B36"/>
    <w:rsid w:val="1E451804"/>
    <w:rsid w:val="1E592455"/>
    <w:rsid w:val="1E9E60BA"/>
    <w:rsid w:val="1EB06519"/>
    <w:rsid w:val="1EB61656"/>
    <w:rsid w:val="1EC54E44"/>
    <w:rsid w:val="1EDA181F"/>
    <w:rsid w:val="1EF108E0"/>
    <w:rsid w:val="1F14496D"/>
    <w:rsid w:val="1F6317DE"/>
    <w:rsid w:val="1F8B663F"/>
    <w:rsid w:val="1F925C1F"/>
    <w:rsid w:val="1FCB2EDF"/>
    <w:rsid w:val="1FEF3071"/>
    <w:rsid w:val="200D799B"/>
    <w:rsid w:val="201605FE"/>
    <w:rsid w:val="2063580D"/>
    <w:rsid w:val="20672C08"/>
    <w:rsid w:val="20915ED7"/>
    <w:rsid w:val="20B322F1"/>
    <w:rsid w:val="20E71F9A"/>
    <w:rsid w:val="214B077B"/>
    <w:rsid w:val="214E201A"/>
    <w:rsid w:val="215A451A"/>
    <w:rsid w:val="21855725"/>
    <w:rsid w:val="21921F06"/>
    <w:rsid w:val="21C67E02"/>
    <w:rsid w:val="21E32762"/>
    <w:rsid w:val="21ED538F"/>
    <w:rsid w:val="2222568B"/>
    <w:rsid w:val="223B07F0"/>
    <w:rsid w:val="22E76282"/>
    <w:rsid w:val="22EB3FC4"/>
    <w:rsid w:val="23005595"/>
    <w:rsid w:val="232B6B39"/>
    <w:rsid w:val="23645B24"/>
    <w:rsid w:val="23847F75"/>
    <w:rsid w:val="23A83C63"/>
    <w:rsid w:val="23AA640A"/>
    <w:rsid w:val="23F24EDE"/>
    <w:rsid w:val="23F724F4"/>
    <w:rsid w:val="23FA3D93"/>
    <w:rsid w:val="241237D2"/>
    <w:rsid w:val="246851A0"/>
    <w:rsid w:val="247C6E9E"/>
    <w:rsid w:val="248E3E83"/>
    <w:rsid w:val="249D12EE"/>
    <w:rsid w:val="24A3597C"/>
    <w:rsid w:val="24A81A41"/>
    <w:rsid w:val="24B44889"/>
    <w:rsid w:val="24CC0A09"/>
    <w:rsid w:val="24D6035C"/>
    <w:rsid w:val="252D4FBC"/>
    <w:rsid w:val="25493224"/>
    <w:rsid w:val="25987D07"/>
    <w:rsid w:val="259C15A5"/>
    <w:rsid w:val="25BD776E"/>
    <w:rsid w:val="2606734B"/>
    <w:rsid w:val="26151358"/>
    <w:rsid w:val="261F4323"/>
    <w:rsid w:val="26437C73"/>
    <w:rsid w:val="265B3015"/>
    <w:rsid w:val="26A821CC"/>
    <w:rsid w:val="26B97F35"/>
    <w:rsid w:val="26E31456"/>
    <w:rsid w:val="26F93BAC"/>
    <w:rsid w:val="2728233E"/>
    <w:rsid w:val="27814EF7"/>
    <w:rsid w:val="27A110F5"/>
    <w:rsid w:val="27DA09A7"/>
    <w:rsid w:val="27F136FF"/>
    <w:rsid w:val="27F356C9"/>
    <w:rsid w:val="27FC27CF"/>
    <w:rsid w:val="280478D6"/>
    <w:rsid w:val="280E42B1"/>
    <w:rsid w:val="281E2746"/>
    <w:rsid w:val="28221B0A"/>
    <w:rsid w:val="28302479"/>
    <w:rsid w:val="28553C8E"/>
    <w:rsid w:val="289A5B44"/>
    <w:rsid w:val="289C18BC"/>
    <w:rsid w:val="291E6775"/>
    <w:rsid w:val="29300A26"/>
    <w:rsid w:val="2960226D"/>
    <w:rsid w:val="2977025E"/>
    <w:rsid w:val="299E062B"/>
    <w:rsid w:val="29BB2216"/>
    <w:rsid w:val="29D532D8"/>
    <w:rsid w:val="2A64465C"/>
    <w:rsid w:val="2B146082"/>
    <w:rsid w:val="2B285689"/>
    <w:rsid w:val="2B762899"/>
    <w:rsid w:val="2B7C4A7B"/>
    <w:rsid w:val="2B8E2C89"/>
    <w:rsid w:val="2BD355F5"/>
    <w:rsid w:val="2C1F6A8C"/>
    <w:rsid w:val="2C26606D"/>
    <w:rsid w:val="2C506C46"/>
    <w:rsid w:val="2C574478"/>
    <w:rsid w:val="2C901738"/>
    <w:rsid w:val="2C9254B0"/>
    <w:rsid w:val="2CBE62A5"/>
    <w:rsid w:val="2CC338BC"/>
    <w:rsid w:val="2CEE1165"/>
    <w:rsid w:val="2D0839C4"/>
    <w:rsid w:val="2D13670F"/>
    <w:rsid w:val="2D4654A3"/>
    <w:rsid w:val="2D574004"/>
    <w:rsid w:val="2D74105A"/>
    <w:rsid w:val="2D79041E"/>
    <w:rsid w:val="2D8079FF"/>
    <w:rsid w:val="2D8F19F0"/>
    <w:rsid w:val="2E474078"/>
    <w:rsid w:val="2F063F34"/>
    <w:rsid w:val="2F0A3A24"/>
    <w:rsid w:val="2F261EE0"/>
    <w:rsid w:val="2F307202"/>
    <w:rsid w:val="2F4F7689"/>
    <w:rsid w:val="2F656EAC"/>
    <w:rsid w:val="2F990904"/>
    <w:rsid w:val="2FFA3A98"/>
    <w:rsid w:val="300A7A53"/>
    <w:rsid w:val="302063B0"/>
    <w:rsid w:val="304B42F4"/>
    <w:rsid w:val="30663F74"/>
    <w:rsid w:val="30777624"/>
    <w:rsid w:val="30D77936"/>
    <w:rsid w:val="30E6401D"/>
    <w:rsid w:val="30E67B79"/>
    <w:rsid w:val="30EC5F6A"/>
    <w:rsid w:val="30EE1123"/>
    <w:rsid w:val="3115045E"/>
    <w:rsid w:val="312A215B"/>
    <w:rsid w:val="314D19A6"/>
    <w:rsid w:val="31570A76"/>
    <w:rsid w:val="31595EBA"/>
    <w:rsid w:val="318C4BC4"/>
    <w:rsid w:val="31A43590"/>
    <w:rsid w:val="320653DB"/>
    <w:rsid w:val="324F79A0"/>
    <w:rsid w:val="325D3E6B"/>
    <w:rsid w:val="32715B68"/>
    <w:rsid w:val="32747406"/>
    <w:rsid w:val="327F6CA0"/>
    <w:rsid w:val="328F5FEE"/>
    <w:rsid w:val="33010C9A"/>
    <w:rsid w:val="333F17C2"/>
    <w:rsid w:val="334F40FB"/>
    <w:rsid w:val="33686F6B"/>
    <w:rsid w:val="339B39F4"/>
    <w:rsid w:val="33A04957"/>
    <w:rsid w:val="33A53D1B"/>
    <w:rsid w:val="34014903"/>
    <w:rsid w:val="345E3ECA"/>
    <w:rsid w:val="34EB1C02"/>
    <w:rsid w:val="351A4295"/>
    <w:rsid w:val="354671A5"/>
    <w:rsid w:val="35571045"/>
    <w:rsid w:val="35633E8E"/>
    <w:rsid w:val="35DE49AC"/>
    <w:rsid w:val="35E93C67"/>
    <w:rsid w:val="35EB79DF"/>
    <w:rsid w:val="35F26FC0"/>
    <w:rsid w:val="36237179"/>
    <w:rsid w:val="36251143"/>
    <w:rsid w:val="363E0457"/>
    <w:rsid w:val="364610BA"/>
    <w:rsid w:val="3684230E"/>
    <w:rsid w:val="368C4D1E"/>
    <w:rsid w:val="369E2CA4"/>
    <w:rsid w:val="36A007CA"/>
    <w:rsid w:val="36A55DE0"/>
    <w:rsid w:val="36AA5AEC"/>
    <w:rsid w:val="36DD37CC"/>
    <w:rsid w:val="3716217A"/>
    <w:rsid w:val="37614915"/>
    <w:rsid w:val="377F4883"/>
    <w:rsid w:val="38630159"/>
    <w:rsid w:val="386F66A6"/>
    <w:rsid w:val="389B56ED"/>
    <w:rsid w:val="38CC58A6"/>
    <w:rsid w:val="38E47860"/>
    <w:rsid w:val="38E52E0C"/>
    <w:rsid w:val="393F076E"/>
    <w:rsid w:val="39A86313"/>
    <w:rsid w:val="39CB2002"/>
    <w:rsid w:val="3A7D77A0"/>
    <w:rsid w:val="3ACC6031"/>
    <w:rsid w:val="3AD43138"/>
    <w:rsid w:val="3BBB438E"/>
    <w:rsid w:val="3BF230E8"/>
    <w:rsid w:val="3C6A5B02"/>
    <w:rsid w:val="3C836BC3"/>
    <w:rsid w:val="3C8D17F0"/>
    <w:rsid w:val="3CCD6091"/>
    <w:rsid w:val="3CEE284A"/>
    <w:rsid w:val="3D2268DE"/>
    <w:rsid w:val="3D393726"/>
    <w:rsid w:val="3D42082D"/>
    <w:rsid w:val="3D624A2B"/>
    <w:rsid w:val="3D81721D"/>
    <w:rsid w:val="3DD161AD"/>
    <w:rsid w:val="3E1C72D0"/>
    <w:rsid w:val="3E38578C"/>
    <w:rsid w:val="3E9B4698"/>
    <w:rsid w:val="3EB77B93"/>
    <w:rsid w:val="3EBF1A09"/>
    <w:rsid w:val="3EF26282"/>
    <w:rsid w:val="3EFE4C27"/>
    <w:rsid w:val="3F0A7128"/>
    <w:rsid w:val="3F3C12AC"/>
    <w:rsid w:val="3F4D02CB"/>
    <w:rsid w:val="3F740A45"/>
    <w:rsid w:val="3FF027C2"/>
    <w:rsid w:val="406E7B8B"/>
    <w:rsid w:val="40CA3013"/>
    <w:rsid w:val="40D07EFD"/>
    <w:rsid w:val="40F63E08"/>
    <w:rsid w:val="4105404B"/>
    <w:rsid w:val="41287D39"/>
    <w:rsid w:val="412D70FE"/>
    <w:rsid w:val="41656898"/>
    <w:rsid w:val="41917E68"/>
    <w:rsid w:val="420C1409"/>
    <w:rsid w:val="42100EF9"/>
    <w:rsid w:val="42277FF1"/>
    <w:rsid w:val="423476F5"/>
    <w:rsid w:val="423A41C8"/>
    <w:rsid w:val="426D634C"/>
    <w:rsid w:val="42B71375"/>
    <w:rsid w:val="42D47A59"/>
    <w:rsid w:val="42D9753D"/>
    <w:rsid w:val="42E83C24"/>
    <w:rsid w:val="43040332"/>
    <w:rsid w:val="436C03B1"/>
    <w:rsid w:val="43AA712C"/>
    <w:rsid w:val="43AE78AB"/>
    <w:rsid w:val="43BF78C0"/>
    <w:rsid w:val="43E066A9"/>
    <w:rsid w:val="444255B6"/>
    <w:rsid w:val="44BB4724"/>
    <w:rsid w:val="44E357F9"/>
    <w:rsid w:val="44E67CEF"/>
    <w:rsid w:val="44FF11FF"/>
    <w:rsid w:val="45404A1B"/>
    <w:rsid w:val="4565330A"/>
    <w:rsid w:val="45912351"/>
    <w:rsid w:val="45967968"/>
    <w:rsid w:val="45A100BA"/>
    <w:rsid w:val="45A32084"/>
    <w:rsid w:val="45C049E4"/>
    <w:rsid w:val="45C50150"/>
    <w:rsid w:val="46102811"/>
    <w:rsid w:val="463351B6"/>
    <w:rsid w:val="46362EF9"/>
    <w:rsid w:val="46BA3E52"/>
    <w:rsid w:val="46BB51AC"/>
    <w:rsid w:val="46C6427C"/>
    <w:rsid w:val="47045B55"/>
    <w:rsid w:val="47321912"/>
    <w:rsid w:val="476615BC"/>
    <w:rsid w:val="476B4E24"/>
    <w:rsid w:val="4770243A"/>
    <w:rsid w:val="478F53AB"/>
    <w:rsid w:val="47BC567F"/>
    <w:rsid w:val="48194880"/>
    <w:rsid w:val="483F659C"/>
    <w:rsid w:val="484E4529"/>
    <w:rsid w:val="486024AF"/>
    <w:rsid w:val="486A50DB"/>
    <w:rsid w:val="49731D6E"/>
    <w:rsid w:val="49865F45"/>
    <w:rsid w:val="49CA4084"/>
    <w:rsid w:val="4A192915"/>
    <w:rsid w:val="4A541B9F"/>
    <w:rsid w:val="4A697162"/>
    <w:rsid w:val="4A7D10F6"/>
    <w:rsid w:val="4A8703BF"/>
    <w:rsid w:val="4AA30431"/>
    <w:rsid w:val="4B0B04B0"/>
    <w:rsid w:val="4BB24DCF"/>
    <w:rsid w:val="4BC36FDC"/>
    <w:rsid w:val="4BDA60D4"/>
    <w:rsid w:val="4BEE392E"/>
    <w:rsid w:val="4C53424A"/>
    <w:rsid w:val="4C575977"/>
    <w:rsid w:val="4D5048A0"/>
    <w:rsid w:val="4D5D0D6B"/>
    <w:rsid w:val="4D810EFD"/>
    <w:rsid w:val="4D8B1D7C"/>
    <w:rsid w:val="4D994A0D"/>
    <w:rsid w:val="4DA93FB0"/>
    <w:rsid w:val="4DCE03A4"/>
    <w:rsid w:val="4DE1199C"/>
    <w:rsid w:val="4DEB45C9"/>
    <w:rsid w:val="4DF47921"/>
    <w:rsid w:val="4DFA0CB0"/>
    <w:rsid w:val="4E685C19"/>
    <w:rsid w:val="4E6C395B"/>
    <w:rsid w:val="4E740A62"/>
    <w:rsid w:val="4EB7577E"/>
    <w:rsid w:val="4EBD4638"/>
    <w:rsid w:val="4ED67027"/>
    <w:rsid w:val="4EF63225"/>
    <w:rsid w:val="4F10078B"/>
    <w:rsid w:val="4F1418FD"/>
    <w:rsid w:val="4F2C30EB"/>
    <w:rsid w:val="4F400944"/>
    <w:rsid w:val="4F416B96"/>
    <w:rsid w:val="4F4E00F1"/>
    <w:rsid w:val="4F4E3061"/>
    <w:rsid w:val="4FAD422B"/>
    <w:rsid w:val="4FB235F0"/>
    <w:rsid w:val="4FBB346B"/>
    <w:rsid w:val="50131BB5"/>
    <w:rsid w:val="504644C8"/>
    <w:rsid w:val="50503DC4"/>
    <w:rsid w:val="50792360"/>
    <w:rsid w:val="50901457"/>
    <w:rsid w:val="509900DB"/>
    <w:rsid w:val="50A0169A"/>
    <w:rsid w:val="50B25872"/>
    <w:rsid w:val="51051E45"/>
    <w:rsid w:val="517D5E7F"/>
    <w:rsid w:val="51897B82"/>
    <w:rsid w:val="51A4340C"/>
    <w:rsid w:val="51E67581"/>
    <w:rsid w:val="51EE28D9"/>
    <w:rsid w:val="5223678D"/>
    <w:rsid w:val="527C6137"/>
    <w:rsid w:val="52C8137C"/>
    <w:rsid w:val="53334A48"/>
    <w:rsid w:val="53387573"/>
    <w:rsid w:val="53654E1D"/>
    <w:rsid w:val="537E1A3B"/>
    <w:rsid w:val="538C23AA"/>
    <w:rsid w:val="539A6875"/>
    <w:rsid w:val="53E2021C"/>
    <w:rsid w:val="54212AF2"/>
    <w:rsid w:val="542D593B"/>
    <w:rsid w:val="542E16B3"/>
    <w:rsid w:val="54340A83"/>
    <w:rsid w:val="545270A8"/>
    <w:rsid w:val="54684BC5"/>
    <w:rsid w:val="549A0AF6"/>
    <w:rsid w:val="54B41BB8"/>
    <w:rsid w:val="55284354"/>
    <w:rsid w:val="553B4087"/>
    <w:rsid w:val="55807CEC"/>
    <w:rsid w:val="55AE4859"/>
    <w:rsid w:val="55C0633B"/>
    <w:rsid w:val="561A1EEF"/>
    <w:rsid w:val="56446F6C"/>
    <w:rsid w:val="565C42B5"/>
    <w:rsid w:val="56705FB3"/>
    <w:rsid w:val="56AF6ADB"/>
    <w:rsid w:val="56BA722E"/>
    <w:rsid w:val="56C774A8"/>
    <w:rsid w:val="56E12A0D"/>
    <w:rsid w:val="56E83D9B"/>
    <w:rsid w:val="56FF2E93"/>
    <w:rsid w:val="574C432A"/>
    <w:rsid w:val="5789732C"/>
    <w:rsid w:val="58450D79"/>
    <w:rsid w:val="58472D43"/>
    <w:rsid w:val="58D00F8B"/>
    <w:rsid w:val="58EC6C68"/>
    <w:rsid w:val="59044790"/>
    <w:rsid w:val="590D1897"/>
    <w:rsid w:val="592F4477"/>
    <w:rsid w:val="59735AEA"/>
    <w:rsid w:val="59796F2C"/>
    <w:rsid w:val="597A4A53"/>
    <w:rsid w:val="59BD150F"/>
    <w:rsid w:val="59BE0DE3"/>
    <w:rsid w:val="5A0A04CC"/>
    <w:rsid w:val="5A92474A"/>
    <w:rsid w:val="5AD85ED5"/>
    <w:rsid w:val="5AEB3E5A"/>
    <w:rsid w:val="5B4E1C33"/>
    <w:rsid w:val="5B7C71A8"/>
    <w:rsid w:val="5B841BB9"/>
    <w:rsid w:val="5BD42B40"/>
    <w:rsid w:val="5C5E240A"/>
    <w:rsid w:val="5C950521"/>
    <w:rsid w:val="5C965957"/>
    <w:rsid w:val="5CC901CB"/>
    <w:rsid w:val="5D101956"/>
    <w:rsid w:val="5D211DB5"/>
    <w:rsid w:val="5D7C523D"/>
    <w:rsid w:val="5E1C257C"/>
    <w:rsid w:val="5E5D0BCB"/>
    <w:rsid w:val="5E7D301B"/>
    <w:rsid w:val="5EEC1F4F"/>
    <w:rsid w:val="5F182D44"/>
    <w:rsid w:val="5F221E14"/>
    <w:rsid w:val="5F4E49B7"/>
    <w:rsid w:val="5F954394"/>
    <w:rsid w:val="5F9A19AB"/>
    <w:rsid w:val="5FA36AB1"/>
    <w:rsid w:val="5FAD16DE"/>
    <w:rsid w:val="5FC66C44"/>
    <w:rsid w:val="5FF732A1"/>
    <w:rsid w:val="6005776C"/>
    <w:rsid w:val="601B2AEB"/>
    <w:rsid w:val="60261490"/>
    <w:rsid w:val="602816AC"/>
    <w:rsid w:val="60335B1B"/>
    <w:rsid w:val="60340051"/>
    <w:rsid w:val="605129B1"/>
    <w:rsid w:val="605B738C"/>
    <w:rsid w:val="60B60A66"/>
    <w:rsid w:val="60D96503"/>
    <w:rsid w:val="60E125F2"/>
    <w:rsid w:val="611759A9"/>
    <w:rsid w:val="61265BEC"/>
    <w:rsid w:val="613C71BD"/>
    <w:rsid w:val="61422A41"/>
    <w:rsid w:val="61500EBB"/>
    <w:rsid w:val="61B03707"/>
    <w:rsid w:val="61EF2482"/>
    <w:rsid w:val="61F53810"/>
    <w:rsid w:val="62145A44"/>
    <w:rsid w:val="623460E6"/>
    <w:rsid w:val="6243457B"/>
    <w:rsid w:val="625978FB"/>
    <w:rsid w:val="627D1093"/>
    <w:rsid w:val="62C21944"/>
    <w:rsid w:val="62DE42A4"/>
    <w:rsid w:val="62E418BB"/>
    <w:rsid w:val="63155F18"/>
    <w:rsid w:val="63400ABB"/>
    <w:rsid w:val="63EB6C79"/>
    <w:rsid w:val="63EF49BB"/>
    <w:rsid w:val="64490689"/>
    <w:rsid w:val="64872E45"/>
    <w:rsid w:val="64915A72"/>
    <w:rsid w:val="64C179D9"/>
    <w:rsid w:val="64FB113D"/>
    <w:rsid w:val="65031DA0"/>
    <w:rsid w:val="653875B4"/>
    <w:rsid w:val="659F410E"/>
    <w:rsid w:val="65B37C6A"/>
    <w:rsid w:val="666D606B"/>
    <w:rsid w:val="66815672"/>
    <w:rsid w:val="66AA6977"/>
    <w:rsid w:val="66BC02C2"/>
    <w:rsid w:val="66CA0DC7"/>
    <w:rsid w:val="66D47E98"/>
    <w:rsid w:val="67B929E8"/>
    <w:rsid w:val="67C25F42"/>
    <w:rsid w:val="67C671C7"/>
    <w:rsid w:val="67E91721"/>
    <w:rsid w:val="67FD6F7B"/>
    <w:rsid w:val="68014CBD"/>
    <w:rsid w:val="6821710D"/>
    <w:rsid w:val="683C5CF5"/>
    <w:rsid w:val="68476448"/>
    <w:rsid w:val="684D3A5E"/>
    <w:rsid w:val="68B00491"/>
    <w:rsid w:val="68D221B5"/>
    <w:rsid w:val="68E5638C"/>
    <w:rsid w:val="693410C2"/>
    <w:rsid w:val="69470DF5"/>
    <w:rsid w:val="696A6892"/>
    <w:rsid w:val="69766FE4"/>
    <w:rsid w:val="69B813AB"/>
    <w:rsid w:val="69C97A5C"/>
    <w:rsid w:val="69DD7064"/>
    <w:rsid w:val="69E44896"/>
    <w:rsid w:val="6A042842"/>
    <w:rsid w:val="6A22716C"/>
    <w:rsid w:val="6A4D41E9"/>
    <w:rsid w:val="6A4D5833"/>
    <w:rsid w:val="6A5761C8"/>
    <w:rsid w:val="6ACB3360"/>
    <w:rsid w:val="6AE461D0"/>
    <w:rsid w:val="6B4A697B"/>
    <w:rsid w:val="6B6D4417"/>
    <w:rsid w:val="6B7C60D2"/>
    <w:rsid w:val="6B855157"/>
    <w:rsid w:val="6BB12556"/>
    <w:rsid w:val="6BB42046"/>
    <w:rsid w:val="6BC06C3D"/>
    <w:rsid w:val="6BD526E8"/>
    <w:rsid w:val="6BDB5825"/>
    <w:rsid w:val="6C0A7EB8"/>
    <w:rsid w:val="6C214AF9"/>
    <w:rsid w:val="6C3C2767"/>
    <w:rsid w:val="6C3D203B"/>
    <w:rsid w:val="6C427652"/>
    <w:rsid w:val="6C564FAB"/>
    <w:rsid w:val="6C77379F"/>
    <w:rsid w:val="6C9C6D62"/>
    <w:rsid w:val="6CE60925"/>
    <w:rsid w:val="6CEB1A97"/>
    <w:rsid w:val="6CEF77DA"/>
    <w:rsid w:val="6D050DAB"/>
    <w:rsid w:val="6D4318D3"/>
    <w:rsid w:val="6D5E2269"/>
    <w:rsid w:val="6D673814"/>
    <w:rsid w:val="6DAC7479"/>
    <w:rsid w:val="6E414065"/>
    <w:rsid w:val="6E6C6C08"/>
    <w:rsid w:val="6EB26D11"/>
    <w:rsid w:val="6EB505AF"/>
    <w:rsid w:val="6EBF31DC"/>
    <w:rsid w:val="6EED5F9B"/>
    <w:rsid w:val="6EF56BFD"/>
    <w:rsid w:val="6F235519"/>
    <w:rsid w:val="6F54601A"/>
    <w:rsid w:val="6FED5B27"/>
    <w:rsid w:val="70003AAC"/>
    <w:rsid w:val="700F3CEF"/>
    <w:rsid w:val="70820965"/>
    <w:rsid w:val="70A97C9F"/>
    <w:rsid w:val="70B0102E"/>
    <w:rsid w:val="71463740"/>
    <w:rsid w:val="716C5BBA"/>
    <w:rsid w:val="71E80C9B"/>
    <w:rsid w:val="71FA364F"/>
    <w:rsid w:val="72147560"/>
    <w:rsid w:val="72803834"/>
    <w:rsid w:val="7295497F"/>
    <w:rsid w:val="72964253"/>
    <w:rsid w:val="72A050D2"/>
    <w:rsid w:val="72AF5315"/>
    <w:rsid w:val="72BB015E"/>
    <w:rsid w:val="72BB1F0C"/>
    <w:rsid w:val="7352461E"/>
    <w:rsid w:val="737A5923"/>
    <w:rsid w:val="738E2DDF"/>
    <w:rsid w:val="73A34E7A"/>
    <w:rsid w:val="73A86934"/>
    <w:rsid w:val="73AD7AA7"/>
    <w:rsid w:val="73B823D6"/>
    <w:rsid w:val="73B938B2"/>
    <w:rsid w:val="73CB0645"/>
    <w:rsid w:val="743E2DF5"/>
    <w:rsid w:val="74AE7F7A"/>
    <w:rsid w:val="74BC110E"/>
    <w:rsid w:val="74F02341"/>
    <w:rsid w:val="751678CE"/>
    <w:rsid w:val="75241FEA"/>
    <w:rsid w:val="753164B5"/>
    <w:rsid w:val="757B5E0E"/>
    <w:rsid w:val="75915657"/>
    <w:rsid w:val="75DA08FB"/>
    <w:rsid w:val="75DE488F"/>
    <w:rsid w:val="75E31EA6"/>
    <w:rsid w:val="760360A4"/>
    <w:rsid w:val="76283D5C"/>
    <w:rsid w:val="768947FB"/>
    <w:rsid w:val="769B452E"/>
    <w:rsid w:val="76A141CE"/>
    <w:rsid w:val="76DF08BF"/>
    <w:rsid w:val="77073972"/>
    <w:rsid w:val="77106CCA"/>
    <w:rsid w:val="77B533CE"/>
    <w:rsid w:val="77E837A3"/>
    <w:rsid w:val="77F959B0"/>
    <w:rsid w:val="78197E01"/>
    <w:rsid w:val="789E3E62"/>
    <w:rsid w:val="78AE679B"/>
    <w:rsid w:val="78AF70A8"/>
    <w:rsid w:val="78C539C4"/>
    <w:rsid w:val="78C87131"/>
    <w:rsid w:val="78D635FC"/>
    <w:rsid w:val="791800B8"/>
    <w:rsid w:val="79C8563A"/>
    <w:rsid w:val="79CB512B"/>
    <w:rsid w:val="79D97847"/>
    <w:rsid w:val="79EC2981"/>
    <w:rsid w:val="79F24465"/>
    <w:rsid w:val="7A054BE1"/>
    <w:rsid w:val="7A28432B"/>
    <w:rsid w:val="7A320D06"/>
    <w:rsid w:val="7A342CD0"/>
    <w:rsid w:val="7A356A48"/>
    <w:rsid w:val="7A540C7C"/>
    <w:rsid w:val="7A6D1D3E"/>
    <w:rsid w:val="7A7E3F4B"/>
    <w:rsid w:val="7AA975E0"/>
    <w:rsid w:val="7ADE2C3C"/>
    <w:rsid w:val="7AE91D0C"/>
    <w:rsid w:val="7AFA4486"/>
    <w:rsid w:val="7B191EC6"/>
    <w:rsid w:val="7B7610C6"/>
    <w:rsid w:val="7BAC2D3A"/>
    <w:rsid w:val="7BCE75EC"/>
    <w:rsid w:val="7BE67FFA"/>
    <w:rsid w:val="7BF85F7F"/>
    <w:rsid w:val="7C174657"/>
    <w:rsid w:val="7C4D1E27"/>
    <w:rsid w:val="7C943EFA"/>
    <w:rsid w:val="7CA26617"/>
    <w:rsid w:val="7CA81753"/>
    <w:rsid w:val="7CB00608"/>
    <w:rsid w:val="7CBB76D8"/>
    <w:rsid w:val="7CCD740C"/>
    <w:rsid w:val="7CCF6CE0"/>
    <w:rsid w:val="7D05344D"/>
    <w:rsid w:val="7D2A03BA"/>
    <w:rsid w:val="7D44147C"/>
    <w:rsid w:val="7D492DAE"/>
    <w:rsid w:val="7DA61581"/>
    <w:rsid w:val="7DA71A0B"/>
    <w:rsid w:val="7DAA3B0A"/>
    <w:rsid w:val="7DE71E07"/>
    <w:rsid w:val="7DF34C50"/>
    <w:rsid w:val="7E5D031B"/>
    <w:rsid w:val="7E723DC7"/>
    <w:rsid w:val="7EE84089"/>
    <w:rsid w:val="7EFD42F7"/>
    <w:rsid w:val="7F286B7B"/>
    <w:rsid w:val="7F376DBE"/>
    <w:rsid w:val="7F765B38"/>
    <w:rsid w:val="7F857B2A"/>
    <w:rsid w:val="7FBD5515"/>
    <w:rsid w:val="7FC44AF6"/>
    <w:rsid w:val="7FD60385"/>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20"/>
    </w:rPr>
  </w:style>
  <w:style w:type="paragraph" w:styleId="3">
    <w:name w:val="heading 2"/>
    <w:basedOn w:val="1"/>
    <w:next w:val="1"/>
    <w:link w:val="16"/>
    <w:semiHidden/>
    <w:unhideWhenUsed/>
    <w:qFormat/>
    <w:uiPriority w:val="0"/>
    <w:pPr>
      <w:keepNext/>
      <w:keepLines/>
      <w:spacing w:beforeLines="0" w:beforeAutospacing="0" w:afterLines="0" w:afterAutospacing="0" w:line="560" w:lineRule="exact"/>
      <w:ind w:firstLine="883" w:firstLineChars="200"/>
      <w:outlineLvl w:val="1"/>
    </w:pPr>
    <w:rPr>
      <w:rFonts w:ascii="Times New Roman" w:hAnsi="Times New Roman" w:eastAsia="楷体_GB2312" w:cs="Times New Roman"/>
      <w:b/>
      <w:sz w:val="32"/>
    </w:rPr>
  </w:style>
  <w:style w:type="paragraph" w:styleId="4">
    <w:name w:val="heading 3"/>
    <w:basedOn w:val="5"/>
    <w:next w:val="5"/>
    <w:semiHidden/>
    <w:unhideWhenUsed/>
    <w:qFormat/>
    <w:uiPriority w:val="0"/>
    <w:pPr>
      <w:keepNext/>
      <w:keepLines/>
      <w:spacing w:beforeLines="0" w:beforeAutospacing="0" w:afterLines="0" w:afterAutospacing="0" w:line="560" w:lineRule="exact"/>
      <w:ind w:firstLine="883" w:firstLineChars="200"/>
      <w:outlineLvl w:val="2"/>
    </w:pPr>
    <w:rPr>
      <w:rFonts w:ascii="Times New Roman" w:hAnsi="Times New Roman" w:eastAsia="仿宋_GB2312" w:cstheme="minorBidi"/>
      <w:b/>
      <w:sz w:val="32"/>
      <w:szCs w:val="24"/>
      <w:lang w:eastAsia="zh-CN"/>
    </w:rPr>
  </w:style>
  <w:style w:type="paragraph" w:styleId="6">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1"/>
      <w:szCs w:val="31"/>
      <w:lang w:val="en-US" w:eastAsia="en-US" w:bidi="ar-SA"/>
    </w:r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rFonts w:ascii="Times New Roman" w:hAnsi="Times New Roman" w:eastAsia="宋体" w:cs="Times New Roman"/>
      <w:color w:val="0000FF"/>
      <w:u w:val="single"/>
    </w:rPr>
  </w:style>
  <w:style w:type="character" w:customStyle="1" w:styleId="14">
    <w:name w:val="页眉 字符"/>
    <w:link w:val="8"/>
    <w:autoRedefine/>
    <w:qFormat/>
    <w:uiPriority w:val="0"/>
    <w:rPr>
      <w:kern w:val="2"/>
      <w:sz w:val="18"/>
      <w:szCs w:val="18"/>
    </w:rPr>
  </w:style>
  <w:style w:type="character" w:customStyle="1" w:styleId="15">
    <w:name w:val="页脚 字符"/>
    <w:link w:val="7"/>
    <w:autoRedefine/>
    <w:qFormat/>
    <w:uiPriority w:val="0"/>
    <w:rPr>
      <w:kern w:val="2"/>
      <w:sz w:val="18"/>
      <w:szCs w:val="18"/>
    </w:rPr>
  </w:style>
  <w:style w:type="character" w:customStyle="1" w:styleId="16">
    <w:name w:val="标题 2 Char"/>
    <w:link w:val="3"/>
    <w:qFormat/>
    <w:uiPriority w:val="0"/>
    <w:rPr>
      <w:rFonts w:ascii="Times New Roman" w:hAnsi="Times New Roman" w:eastAsia="楷体_GB2312" w:cs="Times New Roman"/>
      <w:b/>
      <w:sz w:val="32"/>
    </w:rPr>
  </w:style>
  <w:style w:type="character" w:customStyle="1" w:styleId="17">
    <w:name w:val="NormalCharacter"/>
    <w:semiHidden/>
    <w:qFormat/>
    <w:uiPriority w:val="0"/>
    <w:rPr>
      <w:rFonts w:ascii="Calibri" w:hAnsi="Calibri" w:eastAsia="宋体" w:cs="Times New Roman"/>
      <w:kern w:val="2"/>
      <w:sz w:val="21"/>
      <w:szCs w:val="24"/>
      <w:lang w:val="en-US" w:eastAsia="zh-CN" w:bidi="ar-SA"/>
    </w:rPr>
  </w:style>
  <w:style w:type="character" w:customStyle="1" w:styleId="18">
    <w:name w:val="fontstyle01"/>
    <w:basedOn w:val="12"/>
    <w:qFormat/>
    <w:uiPriority w:val="0"/>
    <w:rPr>
      <w:rFonts w:hint="eastAsia" w:ascii="仿宋_GB2312" w:eastAsia="仿宋_GB2312"/>
      <w:color w:val="000000"/>
      <w:sz w:val="32"/>
      <w:szCs w:val="32"/>
    </w:rPr>
  </w:style>
  <w:style w:type="character" w:customStyle="1" w:styleId="19">
    <w:name w:val="fontstyle21"/>
    <w:basedOn w:val="12"/>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2561</Words>
  <Characters>2724</Characters>
  <Lines>25</Lines>
  <Paragraphs>7</Paragraphs>
  <TotalTime>18</TotalTime>
  <ScaleCrop>false</ScaleCrop>
  <LinksUpToDate>false</LinksUpToDate>
  <CharactersWithSpaces>2769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2021-05-21T10:26:00Z</dcterms:created>
  <dc:creator>阿胖</dc:creator>
  <cp:lastModifiedBy>u_K</cp:lastModifiedBy>
  <cp:lastPrinted>2023-05-26T02:01:00Z</cp:lastPrinted>
  <dcterms:modified xsi:type="dcterms:W3CDTF">2026-05-09T11:45:15Z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AB733B23B53C46AF870D3DF6424EAA79_13</vt:lpwstr>
  </property>
  <property fmtid="{D5CDD505-2E9C-101B-9397-08002B2CF9AE}" pid="4" name="KSOTemplateDocerSaveRecord">
    <vt:lpwstr>eyJoZGlkIjoiNGU5YTk2NWU3OTRhNTU0YjZlNWE0ODExMjY4YzM0MTgiLCJ1c2VySWQiOiI4MjMzNjU4ODAifQ==</vt:lpwstr>
  </property>
</Properties>
</file>