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微软雅黑" w:hAnsi="微软雅黑" w:eastAsia="微软雅黑"/>
          <w:color w:val="auto"/>
          <w:sz w:val="44"/>
          <w:szCs w:val="44"/>
        </w:rPr>
      </w:pPr>
      <w:bookmarkStart w:id="0" w:name="_GoBack"/>
      <w:bookmarkEnd w:id="0"/>
      <w:r>
        <w:rPr>
          <w:rFonts w:hint="eastAsia" w:ascii="微软雅黑" w:hAnsi="微软雅黑" w:eastAsia="微软雅黑"/>
          <w:color w:val="auto"/>
          <w:sz w:val="44"/>
          <w:szCs w:val="44"/>
        </w:rPr>
        <w:t>系统工程学院2025年博士研究生</w:t>
      </w:r>
    </w:p>
    <w:p>
      <w:pPr>
        <w:spacing w:line="560" w:lineRule="exact"/>
        <w:jc w:val="center"/>
        <w:rPr>
          <w:rFonts w:ascii="微软雅黑" w:hAnsi="微软雅黑" w:eastAsia="微软雅黑"/>
          <w:color w:val="auto"/>
          <w:sz w:val="44"/>
          <w:szCs w:val="44"/>
        </w:rPr>
      </w:pPr>
      <w:r>
        <w:rPr>
          <w:rFonts w:hint="eastAsia" w:ascii="微软雅黑" w:hAnsi="微软雅黑" w:eastAsia="微软雅黑"/>
          <w:color w:val="auto"/>
          <w:sz w:val="44"/>
          <w:szCs w:val="44"/>
        </w:rPr>
        <w:t>“申请-考核”制招生工作补充细则</w:t>
      </w:r>
    </w:p>
    <w:p>
      <w:pPr>
        <w:spacing w:line="560" w:lineRule="exact"/>
        <w:jc w:val="center"/>
        <w:rPr>
          <w:rFonts w:ascii="楷体" w:hAnsi="楷体" w:eastAsia="楷体" w:cs="楷体"/>
          <w:color w:val="auto"/>
          <w:sz w:val="30"/>
          <w:szCs w:val="30"/>
        </w:rPr>
      </w:pPr>
    </w:p>
    <w:p>
      <w:pPr>
        <w:spacing w:line="560" w:lineRule="exact"/>
        <w:jc w:val="left"/>
        <w:rPr>
          <w:rFonts w:ascii="仿宋_GB2312" w:eastAsia="仿宋_GB2312"/>
          <w:color w:val="auto"/>
          <w:sz w:val="32"/>
          <w:szCs w:val="32"/>
        </w:rPr>
      </w:pPr>
      <w:r>
        <w:rPr>
          <w:rFonts w:hint="eastAsia" w:eastAsia="仿宋_GB2312"/>
          <w:color w:val="auto"/>
          <w:sz w:val="32"/>
          <w:szCs w:val="32"/>
        </w:rPr>
        <w:t xml:space="preserve">    </w:t>
      </w:r>
      <w:r>
        <w:rPr>
          <w:rFonts w:hint="eastAsia" w:ascii="仿宋_GB2312" w:eastAsia="仿宋_GB2312"/>
          <w:color w:val="auto"/>
          <w:sz w:val="32"/>
          <w:szCs w:val="32"/>
        </w:rPr>
        <w:t>根据《国防科技大学博士研究生“申请-考核”制招生实施办法》（附件1，以下简称“学校《招生办法》”），结合学院实际，制定此补充细则。本细则未涉及的内容，按学校《招生办法》执行。</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招生对象及报考条件</w:t>
      </w:r>
    </w:p>
    <w:p>
      <w:pPr>
        <w:widowControl/>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同学校《招生办法》要求一致。报考条件中外语语种指定为英语。</w:t>
      </w:r>
    </w:p>
    <w:p>
      <w:pPr>
        <w:widowControl/>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地方申请参军入伍考生身体、学历学位等条件按当年入伍研究生招生政策执行。</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招生导师</w:t>
      </w:r>
    </w:p>
    <w:p>
      <w:pPr>
        <w:widowControl/>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招生导师为学校学位评定委员会认定的当年上岗博士研究生指导教师，为加强学生在校期间管理，兼职导师录取的考生，必须指定一名在职在校导师作为联合导师，占联合导师招生指标。</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招生限额</w:t>
      </w:r>
    </w:p>
    <w:p>
      <w:pPr>
        <w:pStyle w:val="14"/>
        <w:spacing w:before="0" w:beforeAutospacing="0" w:after="0" w:afterAutospacing="0"/>
        <w:ind w:firstLine="598" w:firstLineChars="200"/>
        <w:jc w:val="both"/>
        <w:rPr>
          <w:rFonts w:ascii="仿宋_GB2312" w:hAnsi="Times New Roman" w:eastAsia="仿宋_GB2312" w:cs="Times New Roman"/>
          <w:color w:val="auto"/>
          <w:sz w:val="32"/>
          <w:szCs w:val="32"/>
        </w:rPr>
      </w:pPr>
      <w:r>
        <w:rPr>
          <w:rFonts w:hint="eastAsia" w:ascii="Times New Roman" w:hAnsi="Times New Roman" w:eastAsia="仿宋_GB2312" w:cs="Times New Roman"/>
          <w:bCs/>
          <w:color w:val="auto"/>
          <w:sz w:val="32"/>
          <w:szCs w:val="32"/>
        </w:rPr>
        <w:t>博导招生</w:t>
      </w:r>
      <w:r>
        <w:rPr>
          <w:rFonts w:ascii="Times New Roman" w:hAnsi="Times New Roman" w:eastAsia="仿宋_GB2312" w:cs="Times New Roman"/>
          <w:bCs/>
          <w:color w:val="auto"/>
          <w:sz w:val="32"/>
          <w:szCs w:val="32"/>
        </w:rPr>
        <w:t>研究生需符合招生限额，</w:t>
      </w:r>
      <w:r>
        <w:rPr>
          <w:rFonts w:hint="eastAsia" w:ascii="Times New Roman" w:hAnsi="Times New Roman" w:eastAsia="仿宋_GB2312" w:cs="Times New Roman"/>
          <w:bCs/>
          <w:color w:val="auto"/>
          <w:sz w:val="32"/>
          <w:szCs w:val="32"/>
        </w:rPr>
        <w:t>具体</w:t>
      </w:r>
      <w:r>
        <w:rPr>
          <w:rFonts w:ascii="Times New Roman" w:hAnsi="Times New Roman" w:eastAsia="仿宋_GB2312" w:cs="Times New Roman"/>
          <w:bCs/>
          <w:color w:val="auto"/>
          <w:sz w:val="32"/>
          <w:szCs w:val="32"/>
        </w:rPr>
        <w:t>招生限额与导师进行确认。</w:t>
      </w:r>
      <w:r>
        <w:rPr>
          <w:rFonts w:hint="eastAsia" w:ascii="仿宋_GB2312" w:eastAsia="仿宋_GB2312"/>
          <w:color w:val="auto"/>
          <w:spacing w:val="4"/>
          <w:sz w:val="32"/>
          <w:szCs w:val="32"/>
        </w:rPr>
        <w:t>如报考人数超过招生限额，对应导师和考生须提交承诺书明确遵守招生限额。如拟录取人数超过招生限额，由对应导师明确需调整的考生；需调整的考生与仍有招生限额的导师双向选择或放弃录取资格。</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报考流程</w:t>
      </w:r>
    </w:p>
    <w:p>
      <w:pPr>
        <w:pStyle w:val="14"/>
        <w:spacing w:before="0" w:beforeAutospacing="0" w:after="0" w:afterAutospacing="0"/>
        <w:ind w:firstLine="640"/>
        <w:rPr>
          <w:rFonts w:ascii="仿宋_GB2312" w:hAnsi="Times New Roman" w:eastAsia="仿宋_GB2312" w:cs="Times New Roman"/>
          <w:color w:val="auto"/>
          <w:kern w:val="2"/>
          <w:sz w:val="32"/>
          <w:szCs w:val="32"/>
        </w:rPr>
      </w:pPr>
      <w:r>
        <w:rPr>
          <w:rFonts w:hint="eastAsia" w:ascii="仿宋_GB2312" w:hAnsi="Times New Roman" w:eastAsia="仿宋_GB2312" w:cs="Times New Roman"/>
          <w:color w:val="auto"/>
          <w:kern w:val="2"/>
          <w:sz w:val="32"/>
          <w:szCs w:val="32"/>
        </w:rPr>
        <w:t>申请人须提前确认导师、参加当年组织的思想政治素质和品德考核、资格审查、材料审核、专业基础笔试、创新能力面试、身心素质考察等。</w:t>
      </w:r>
    </w:p>
    <w:p>
      <w:pPr>
        <w:pStyle w:val="14"/>
        <w:spacing w:before="0" w:beforeAutospacing="0" w:after="0" w:afterAutospacing="0"/>
        <w:ind w:firstLine="640"/>
        <w:rPr>
          <w:rFonts w:ascii="仿宋_GB2312" w:hAnsi="Times New Roman" w:eastAsia="仿宋_GB2312" w:cs="Times New Roman"/>
          <w:color w:val="auto"/>
          <w:kern w:val="2"/>
          <w:sz w:val="32"/>
          <w:szCs w:val="32"/>
        </w:rPr>
      </w:pPr>
      <w:r>
        <w:rPr>
          <w:rFonts w:hint="eastAsia" w:ascii="仿宋_GB2312" w:hAnsi="Times New Roman" w:eastAsia="仿宋_GB2312" w:cs="Times New Roman"/>
          <w:color w:val="auto"/>
          <w:kern w:val="2"/>
          <w:sz w:val="32"/>
          <w:szCs w:val="32"/>
        </w:rPr>
        <w:t>具体流程见学院当年“申请-考核”工作方案（以下简称“《工作方案》”），将通过民网公布“国防科技大学研究生招生信息网-院所发文-系统工程学院当年博士研究生“申请-考核”制招生工作方案”。</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报考材料</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具体模板及要求见学院当年《工作方案》。</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报考资格审查</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报考资格审查由学院组织。报考资格审查旨在查验申请人报考资格及相关证明材料的真实性和准确性。申请人须按照学院明确的时间节点提交符合要求的材料，逾期一律不予受理。申请人必须确保所提交的材料真实准确，如有伪造作假等行为，一经发现，将取消申请资格或录取资格。</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材料审核</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材料审核由学院组织。通过资格审查的申请人方可进入材料审核阶段。材料审核旨在考查申请人学习背景、专业知识、科研能力水平等。</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1.材料审核专家组人数不得少于7人，均为申请人申请学科或相近学科具备高级职称的无报考考生进入材料审核的人员（含院外专家1名）。</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2.专家组根据材料审核情况现场实名独立打分。该环节总分100分，占最终录取成绩的25%，成绩低于60分者不得进入专业基础笔试。</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3.生源充足的情况下，学院一般应按照不低于 “申请-考核”制招生计划200%的比例确定参加专业基础笔试人员名单。</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专业基础笔试</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由学校统一组织，旨在考查申请人知识结构、专业素养和研究能力，通过报考材料审查的申请人方可参加专业基础笔试。</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入学资格考试大纲见《系统工程学院博士研究生“申请-考核”入学资格考试大纲》（附件2），参考论文范围见《系统工程学院博士研究生“申请-考核”入学资格考试参考论文清单》（附件3）。</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考试时间150分钟，总分100分，成绩仅设“合格”“不合格”。学院一般按照“申请-考核”制招生计划的150%-200%确定“合格”人员名单，“不合格”人员不得进入创新能力面试。</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创新能力面试</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创新能力面试由学院组织，旨在考查申请人的科学素养、创新能力和培养潜质等。</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1.面试考核组成员为博士研究生指导教师，人数不少于7人，其中至少1人为其他相近学科导师。专家组由学院教科处从当年创新能力面试考核专家库中抽取。</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2.面试考核分为汇报、答辩两部分。申请人先结合课件汇报，汇报主要包括代表性成果和拟攻读博士学位研究计划，汇报时间不少于10分钟，面试总时间不少于30分钟。</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学术学位考生代表性成果可以为学术论文、学科竞赛作品、专利、专著、获得科技奖励的成果等，在职人员也可汇报业务能力、工作成果、对单位的突出贡献，若非第一完成人还需汇报本人在其中所做工作。</w:t>
      </w:r>
      <w:r>
        <w:rPr>
          <w:rFonts w:hint="eastAsia" w:ascii="仿宋_GB2312" w:eastAsia="仿宋_GB2312"/>
          <w:color w:val="auto"/>
          <w:sz w:val="32"/>
        </w:rPr>
        <w:t>考生主要汇报</w:t>
      </w:r>
      <w:r>
        <w:rPr>
          <w:rFonts w:ascii="仿宋_GB2312" w:eastAsia="仿宋_GB2312"/>
          <w:b/>
          <w:color w:val="auto"/>
          <w:sz w:val="32"/>
        </w:rPr>
        <w:t>1</w:t>
      </w:r>
      <w:r>
        <w:rPr>
          <w:rFonts w:hint="eastAsia" w:ascii="仿宋_GB2312" w:eastAsia="仿宋_GB2312"/>
          <w:b/>
          <w:color w:val="auto"/>
          <w:sz w:val="32"/>
        </w:rPr>
        <w:t>项代表性成果和拟攻读博士学位研究计划</w:t>
      </w:r>
      <w:r>
        <w:rPr>
          <w:rFonts w:hint="eastAsia" w:ascii="仿宋_GB2312" w:eastAsia="仿宋_GB2312"/>
          <w:color w:val="auto"/>
          <w:sz w:val="32"/>
        </w:rPr>
        <w:t>。代表性成果可为学术论文、学科竞赛作品、专利、专著、获得的科技奖励等。考生汇报中不得体现已取得的显性学术成果，如论文篇数、级别，专利类型、数量，竞赛成绩等。</w:t>
      </w:r>
      <w:r>
        <w:rPr>
          <w:rFonts w:hint="eastAsia" w:ascii="仿宋_GB2312" w:eastAsia="仿宋_GB2312"/>
          <w:color w:val="auto"/>
          <w:sz w:val="32"/>
          <w:szCs w:val="32"/>
        </w:rPr>
        <w:t>地方电子信息工程博士考生重点考察工程项目能力。</w:t>
      </w:r>
    </w:p>
    <w:p>
      <w:pPr>
        <w:widowControl/>
        <w:spacing w:line="54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3.专家组根据面试考核情况现场实名独立打分，创新能力面试环节总分100分,去掉一个最高分和一个最低分后的专家打分平均值为考生创新能力面试的最终得分。占最终录取成绩的75%，成绩低于60分者不得录取。</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思想政治素质和道德品质考察</w:t>
      </w:r>
    </w:p>
    <w:p>
      <w:pPr>
        <w:pStyle w:val="2"/>
        <w:spacing w:line="560" w:lineRule="exact"/>
        <w:ind w:firstLine="598"/>
        <w:rPr>
          <w:rFonts w:hAnsi="Times New Roman" w:cs="Times New Roman"/>
          <w:color w:val="auto"/>
          <w:spacing w:val="0"/>
        </w:rPr>
      </w:pPr>
      <w:r>
        <w:rPr>
          <w:rFonts w:hint="eastAsia" w:hAnsi="Times New Roman" w:cs="Times New Roman"/>
          <w:color w:val="auto"/>
          <w:spacing w:val="0"/>
        </w:rPr>
        <w:t>思想政治素质和道德品质考察由学院组建考察小组，考察不合格者不得录取。地方申请参军入伍考生参加所在地省级征兵办组织开展的政治考核。</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身心素质考察</w:t>
      </w:r>
    </w:p>
    <w:p>
      <w:pPr>
        <w:pStyle w:val="2"/>
        <w:spacing w:line="560" w:lineRule="exact"/>
        <w:ind w:firstLine="598"/>
        <w:rPr>
          <w:rFonts w:hAnsi="Times New Roman" w:cs="Times New Roman"/>
          <w:color w:val="auto"/>
          <w:spacing w:val="0"/>
        </w:rPr>
      </w:pPr>
      <w:r>
        <w:rPr>
          <w:rFonts w:hint="eastAsia" w:hAnsi="Times New Roman" w:cs="Times New Roman"/>
          <w:color w:val="auto"/>
          <w:spacing w:val="0"/>
        </w:rPr>
        <w:t>身心素质考察包括体检和心理测试两部分。体检按照国家和军队关于军人学员和地方学员入学体检标准执行，未参加体检或体检不合格者，不予录取。心理测试旨在了解申请人的心理健康状况，由专业人员统一组织，未参加心理测试或有严重心理疾病者，不予录取。地方申请参军入伍考生参加所在地省级征兵办组织开展的体格检查，</w:t>
      </w:r>
      <w:r>
        <w:rPr>
          <w:rFonts w:hint="eastAsia" w:hAnsi="Times New Roman" w:cs="Times New Roman"/>
          <w:color w:val="auto"/>
          <w:spacing w:val="0"/>
          <w:lang w:val="en-US" w:eastAsia="zh-CN"/>
        </w:rPr>
        <w:t>标准参见</w:t>
      </w:r>
      <w:r>
        <w:rPr>
          <w:rFonts w:hint="eastAsia" w:hAnsi="Times New Roman" w:cs="Times New Roman"/>
          <w:color w:val="auto"/>
          <w:spacing w:val="0"/>
        </w:rPr>
        <w:t>《军队选拔军官和文职人员体检标准》（2023年）。</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录取</w:t>
      </w:r>
    </w:p>
    <w:p>
      <w:pPr>
        <w:pStyle w:val="14"/>
        <w:spacing w:before="0" w:beforeAutospacing="0" w:after="0" w:afterAutospacing="0"/>
        <w:ind w:firstLine="598" w:firstLineChars="200"/>
        <w:rPr>
          <w:rFonts w:ascii="仿宋_GB2312" w:hAnsi="Times New Roman" w:eastAsia="仿宋_GB2312" w:cs="Times New Roman"/>
          <w:color w:val="auto"/>
          <w:kern w:val="2"/>
          <w:sz w:val="32"/>
          <w:szCs w:val="32"/>
        </w:rPr>
      </w:pPr>
      <w:r>
        <w:rPr>
          <w:rFonts w:hint="eastAsia" w:ascii="仿宋_GB2312" w:hAnsi="Times New Roman" w:eastAsia="仿宋_GB2312" w:cs="Times New Roman"/>
          <w:color w:val="auto"/>
          <w:kern w:val="2"/>
          <w:sz w:val="32"/>
          <w:szCs w:val="32"/>
        </w:rPr>
        <w:t>最终录取成绩=材料审核成绩×25%+创新能力面试成绩×75%。</w:t>
      </w:r>
    </w:p>
    <w:p>
      <w:pPr>
        <w:pStyle w:val="14"/>
        <w:spacing w:before="0" w:beforeAutospacing="0" w:after="0" w:afterAutospacing="0"/>
        <w:ind w:firstLine="598" w:firstLineChars="200"/>
        <w:rPr>
          <w:rFonts w:ascii="仿宋_GB2312" w:hAnsi="Times New Roman" w:eastAsia="仿宋_GB2312" w:cs="Times New Roman"/>
          <w:color w:val="auto"/>
          <w:kern w:val="2"/>
          <w:sz w:val="32"/>
          <w:szCs w:val="32"/>
        </w:rPr>
      </w:pPr>
      <w:r>
        <w:rPr>
          <w:rFonts w:hint="eastAsia" w:ascii="仿宋_GB2312" w:hAnsi="Times New Roman" w:eastAsia="仿宋_GB2312" w:cs="Times New Roman"/>
          <w:color w:val="auto"/>
          <w:kern w:val="2"/>
          <w:sz w:val="32"/>
          <w:szCs w:val="32"/>
        </w:rPr>
        <w:t>学院根据申请人最终录取成绩，结合导师意见和招生计划，经招生学院党委常委会研究后，提出拟录取名单，报学校首长批准。</w:t>
      </w:r>
    </w:p>
    <w:p>
      <w:pPr>
        <w:pStyle w:val="14"/>
        <w:numPr>
          <w:ilvl w:val="0"/>
          <w:numId w:val="1"/>
        </w:numPr>
        <w:spacing w:before="0" w:beforeAutospacing="0" w:after="0" w:afterAutospacing="0"/>
        <w:rPr>
          <w:rFonts w:ascii="黑体" w:hAnsi="黑体" w:eastAsia="黑体" w:cs="Times New Roman"/>
          <w:color w:val="auto"/>
          <w:sz w:val="32"/>
          <w:szCs w:val="32"/>
        </w:rPr>
      </w:pPr>
      <w:r>
        <w:rPr>
          <w:rFonts w:hint="eastAsia" w:ascii="黑体" w:hAnsi="黑体" w:eastAsia="黑体" w:cs="Times New Roman"/>
          <w:color w:val="auto"/>
          <w:sz w:val="32"/>
          <w:szCs w:val="32"/>
        </w:rPr>
        <w:t>其他事项</w:t>
      </w:r>
    </w:p>
    <w:p>
      <w:pPr>
        <w:pStyle w:val="14"/>
        <w:spacing w:before="0" w:beforeAutospacing="0" w:after="0" w:afterAutospacing="0"/>
        <w:ind w:firstLine="598" w:firstLineChars="200"/>
        <w:rPr>
          <w:rFonts w:ascii="仿宋_GB2312" w:hAnsi="Times New Roman" w:eastAsia="仿宋_GB2312" w:cs="Times New Roman"/>
          <w:color w:val="auto"/>
          <w:kern w:val="2"/>
          <w:sz w:val="32"/>
          <w:szCs w:val="32"/>
        </w:rPr>
      </w:pPr>
      <w:r>
        <w:rPr>
          <w:rFonts w:hint="eastAsia" w:ascii="仿宋_GB2312" w:hAnsi="Times New Roman" w:eastAsia="仿宋_GB2312" w:cs="Times New Roman"/>
          <w:color w:val="auto"/>
          <w:kern w:val="2"/>
          <w:sz w:val="32"/>
          <w:szCs w:val="32"/>
        </w:rPr>
        <w:t>1.英语为唯一指定外语语种。</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2.本细则解释权归系统工程学院教学科研处。</w:t>
      </w:r>
    </w:p>
    <w:p>
      <w:pPr>
        <w:widowControl/>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3.考核选拔各阶段工作流程和结果将在国防科技大学研究生招生信息网统一公告、公示。</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4.在考核选拔过程中出现弄虚作假、违规违纪的申请人，一经查实将永久取消其报考国防科技大学博士研究生资格，已被录取者将取消入学资格、注销学籍或撤销学历（学位）。</w:t>
      </w:r>
    </w:p>
    <w:p>
      <w:pPr>
        <w:spacing w:line="560" w:lineRule="exact"/>
        <w:ind w:firstLine="598" w:firstLineChars="200"/>
        <w:rPr>
          <w:rFonts w:ascii="仿宋_GB2312" w:eastAsia="仿宋_GB2312"/>
          <w:color w:val="auto"/>
          <w:sz w:val="32"/>
          <w:szCs w:val="32"/>
        </w:rPr>
      </w:pP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附件：1.国防科技大学博士研究生“申请-考核”制招生实施办</w:t>
      </w:r>
    </w:p>
    <w:p>
      <w:pPr>
        <w:spacing w:line="560" w:lineRule="exact"/>
        <w:ind w:firstLine="1794" w:firstLineChars="600"/>
        <w:rPr>
          <w:rFonts w:ascii="仿宋_GB2312" w:eastAsia="仿宋_GB2312"/>
          <w:color w:val="auto"/>
          <w:sz w:val="32"/>
          <w:szCs w:val="32"/>
        </w:rPr>
      </w:pPr>
      <w:r>
        <w:rPr>
          <w:rFonts w:hint="eastAsia" w:ascii="仿宋_GB2312" w:eastAsia="仿宋_GB2312"/>
          <w:color w:val="auto"/>
          <w:sz w:val="32"/>
          <w:szCs w:val="32"/>
        </w:rPr>
        <w:t>法</w:t>
      </w:r>
    </w:p>
    <w:p>
      <w:pPr>
        <w:spacing w:line="560" w:lineRule="exact"/>
        <w:ind w:firstLine="1495" w:firstLineChars="500"/>
        <w:rPr>
          <w:rFonts w:ascii="仿宋_GB2312" w:eastAsia="仿宋_GB2312"/>
          <w:color w:val="auto"/>
          <w:sz w:val="32"/>
          <w:szCs w:val="32"/>
        </w:rPr>
      </w:pPr>
      <w:r>
        <w:rPr>
          <w:rFonts w:hint="eastAsia" w:ascii="仿宋_GB2312" w:eastAsia="仿宋_GB2312"/>
          <w:color w:val="auto"/>
          <w:sz w:val="32"/>
          <w:szCs w:val="32"/>
        </w:rPr>
        <w:t>2.系统工程学院博士研究生“申请-考核”入学资格考试</w:t>
      </w:r>
    </w:p>
    <w:p>
      <w:pPr>
        <w:spacing w:line="560" w:lineRule="exact"/>
        <w:ind w:firstLine="1788" w:firstLineChars="598"/>
        <w:rPr>
          <w:rFonts w:ascii="仿宋_GB2312" w:eastAsia="仿宋_GB2312"/>
          <w:color w:val="auto"/>
          <w:sz w:val="32"/>
          <w:szCs w:val="32"/>
        </w:rPr>
      </w:pPr>
      <w:r>
        <w:rPr>
          <w:rFonts w:hint="eastAsia" w:ascii="仿宋_GB2312" w:eastAsia="仿宋_GB2312"/>
          <w:color w:val="auto"/>
          <w:sz w:val="32"/>
          <w:szCs w:val="32"/>
        </w:rPr>
        <w:t>大纲</w:t>
      </w:r>
    </w:p>
    <w:p>
      <w:pPr>
        <w:spacing w:line="560" w:lineRule="exact"/>
        <w:ind w:firstLine="1495" w:firstLineChars="500"/>
        <w:rPr>
          <w:rFonts w:ascii="仿宋_GB2312" w:eastAsia="仿宋_GB2312"/>
          <w:color w:val="auto"/>
          <w:sz w:val="32"/>
          <w:szCs w:val="32"/>
        </w:rPr>
      </w:pPr>
      <w:r>
        <w:rPr>
          <w:rFonts w:hint="eastAsia" w:ascii="仿宋_GB2312" w:eastAsia="仿宋_GB2312"/>
          <w:color w:val="auto"/>
          <w:sz w:val="32"/>
          <w:szCs w:val="32"/>
        </w:rPr>
        <w:t>3.系统工程学院博士研究生“申请-考核”入学资格考试</w:t>
      </w:r>
    </w:p>
    <w:p>
      <w:pPr>
        <w:spacing w:line="560" w:lineRule="exact"/>
        <w:ind w:firstLine="1785" w:firstLineChars="597"/>
        <w:rPr>
          <w:rFonts w:ascii="仿宋_GB2312" w:eastAsia="仿宋_GB2312"/>
          <w:color w:val="auto"/>
          <w:sz w:val="32"/>
          <w:szCs w:val="32"/>
        </w:rPr>
      </w:pPr>
      <w:r>
        <w:rPr>
          <w:rFonts w:hint="eastAsia" w:ascii="仿宋_GB2312" w:eastAsia="仿宋_GB2312"/>
          <w:color w:val="auto"/>
          <w:sz w:val="32"/>
          <w:szCs w:val="32"/>
        </w:rPr>
        <w:t>参考论文清单</w:t>
      </w:r>
    </w:p>
    <w:p>
      <w:pPr>
        <w:spacing w:line="560" w:lineRule="exact"/>
        <w:ind w:firstLine="1495" w:firstLineChars="500"/>
        <w:rPr>
          <w:rFonts w:ascii="仿宋_GB2312" w:eastAsia="仿宋_GB2312"/>
          <w:color w:val="auto"/>
          <w:sz w:val="32"/>
          <w:szCs w:val="32"/>
        </w:rPr>
      </w:pPr>
      <w:r>
        <w:rPr>
          <w:rFonts w:hint="eastAsia" w:ascii="仿宋_GB2312" w:eastAsia="仿宋_GB2312"/>
          <w:color w:val="auto"/>
          <w:sz w:val="32"/>
          <w:szCs w:val="32"/>
        </w:rPr>
        <w:t>4.系统工程学院学术学位博士研究生“申请-考核”材料</w:t>
      </w:r>
    </w:p>
    <w:p>
      <w:pPr>
        <w:spacing w:line="560" w:lineRule="exact"/>
        <w:ind w:firstLine="1794" w:firstLineChars="600"/>
        <w:rPr>
          <w:rFonts w:ascii="仿宋_GB2312" w:eastAsia="仿宋_GB2312"/>
          <w:color w:val="auto"/>
          <w:sz w:val="32"/>
          <w:szCs w:val="32"/>
        </w:rPr>
      </w:pPr>
      <w:r>
        <w:rPr>
          <w:rFonts w:hint="eastAsia" w:ascii="仿宋_GB2312" w:eastAsia="仿宋_GB2312"/>
          <w:color w:val="auto"/>
          <w:sz w:val="32"/>
          <w:szCs w:val="32"/>
        </w:rPr>
        <w:t>审核评分规则</w:t>
      </w:r>
    </w:p>
    <w:p>
      <w:pPr>
        <w:spacing w:line="560" w:lineRule="exact"/>
        <w:ind w:firstLine="1495" w:firstLineChars="500"/>
        <w:rPr>
          <w:rFonts w:ascii="仿宋_GB2312" w:eastAsia="仿宋_GB2312"/>
          <w:color w:val="auto"/>
          <w:sz w:val="32"/>
          <w:szCs w:val="32"/>
        </w:rPr>
      </w:pPr>
      <w:r>
        <w:rPr>
          <w:rFonts w:hint="eastAsia" w:ascii="仿宋_GB2312" w:eastAsia="仿宋_GB2312"/>
          <w:color w:val="auto"/>
          <w:sz w:val="32"/>
          <w:szCs w:val="32"/>
        </w:rPr>
        <w:t>5.关于学术论文分类的说明</w:t>
      </w:r>
    </w:p>
    <w:p>
      <w:pPr>
        <w:spacing w:line="560" w:lineRule="exact"/>
        <w:rPr>
          <w:rFonts w:ascii="黑体" w:hAnsi="黑体" w:eastAsia="黑体"/>
          <w:color w:val="auto"/>
          <w:spacing w:val="4"/>
          <w:sz w:val="32"/>
          <w:szCs w:val="32"/>
          <w:highlight w:val="none"/>
          <w:shd w:val="clear" w:color="auto" w:fill="FFFFFF" w:themeFill="background1"/>
        </w:rPr>
      </w:pPr>
      <w:r>
        <w:rPr>
          <w:rFonts w:hint="eastAsia" w:ascii="仿宋_GB2312" w:eastAsia="仿宋_GB2312"/>
          <w:color w:val="auto"/>
          <w:sz w:val="32"/>
          <w:szCs w:val="32"/>
        </w:rPr>
        <w:br w:type="page"/>
      </w:r>
      <w:r>
        <w:rPr>
          <w:rFonts w:hint="eastAsia" w:ascii="黑体" w:hAnsi="黑体" w:eastAsia="黑体"/>
          <w:color w:val="auto"/>
          <w:spacing w:val="4"/>
          <w:sz w:val="32"/>
          <w:szCs w:val="32"/>
          <w:highlight w:val="none"/>
          <w:shd w:val="clear" w:color="auto" w:fill="FFFFFF" w:themeFill="background1"/>
        </w:rPr>
        <w:t>附件1：</w:t>
      </w:r>
    </w:p>
    <w:p>
      <w:pPr>
        <w:spacing w:line="560" w:lineRule="exact"/>
        <w:jc w:val="center"/>
        <w:rPr>
          <w:rFonts w:ascii="微软雅黑" w:hAnsi="宋体" w:eastAsia="微软雅黑"/>
          <w:color w:val="auto"/>
          <w:kern w:val="0"/>
          <w:sz w:val="44"/>
          <w:szCs w:val="44"/>
        </w:rPr>
      </w:pPr>
      <w:r>
        <w:rPr>
          <w:rFonts w:hint="eastAsia" w:ascii="微软雅黑" w:hAnsi="宋体" w:eastAsia="微软雅黑" w:cs="微软雅黑"/>
          <w:color w:val="auto"/>
          <w:kern w:val="0"/>
          <w:sz w:val="44"/>
          <w:szCs w:val="44"/>
        </w:rPr>
        <w:t>国防科技大学博士研究生</w:t>
      </w:r>
    </w:p>
    <w:p>
      <w:pPr>
        <w:spacing w:line="560" w:lineRule="exact"/>
        <w:jc w:val="center"/>
        <w:rPr>
          <w:rFonts w:ascii="微软雅黑" w:hAnsi="宋体" w:eastAsia="微软雅黑" w:cs="微软雅黑"/>
          <w:color w:val="auto"/>
          <w:kern w:val="0"/>
          <w:sz w:val="44"/>
          <w:szCs w:val="44"/>
        </w:rPr>
      </w:pPr>
      <w:r>
        <w:rPr>
          <w:rFonts w:hint="eastAsia" w:ascii="微软雅黑" w:hAnsi="宋体" w:eastAsia="微软雅黑" w:cs="微软雅黑"/>
          <w:color w:val="auto"/>
          <w:kern w:val="0"/>
          <w:sz w:val="44"/>
          <w:szCs w:val="44"/>
        </w:rPr>
        <w:t>“申请</w:t>
      </w:r>
      <w:r>
        <w:rPr>
          <w:rFonts w:ascii="微软雅黑" w:hAnsi="宋体" w:eastAsia="微软雅黑" w:cs="微软雅黑"/>
          <w:color w:val="auto"/>
          <w:kern w:val="0"/>
          <w:sz w:val="44"/>
          <w:szCs w:val="44"/>
        </w:rPr>
        <w:t>-</w:t>
      </w:r>
      <w:r>
        <w:rPr>
          <w:rFonts w:hint="eastAsia" w:ascii="微软雅黑" w:hAnsi="宋体" w:eastAsia="微软雅黑" w:cs="微软雅黑"/>
          <w:color w:val="auto"/>
          <w:kern w:val="0"/>
          <w:sz w:val="44"/>
          <w:szCs w:val="44"/>
        </w:rPr>
        <w:t>考核”制招生实施办法</w:t>
      </w:r>
    </w:p>
    <w:p>
      <w:pPr>
        <w:snapToGrid w:val="0"/>
        <w:spacing w:before="580" w:beforeLines="10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第一章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总</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则</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第一条</w:t>
      </w:r>
      <w:r>
        <w:rPr>
          <w:rFonts w:ascii="仿宋_GB2312" w:eastAsia="仿宋_GB2312" w:cs="仿宋_GB2312"/>
          <w:b/>
          <w:bCs/>
          <w:color w:val="auto"/>
          <w:sz w:val="32"/>
          <w:szCs w:val="32"/>
        </w:rPr>
        <w:t xml:space="preserve">  </w:t>
      </w:r>
      <w:r>
        <w:rPr>
          <w:rFonts w:hint="eastAsia" w:ascii="仿宋_GB2312" w:hAnsi="仿宋" w:eastAsia="仿宋_GB2312" w:cs="仿宋_GB2312"/>
          <w:color w:val="auto"/>
          <w:spacing w:val="4"/>
          <w:kern w:val="0"/>
          <w:sz w:val="32"/>
          <w:szCs w:val="32"/>
        </w:rPr>
        <w:t>根据《中共中央办公厅 国务院办公厅关于加快推动博士研究生教育高质量发展的意见》（</w:t>
      </w:r>
      <w:r>
        <w:rPr>
          <w:rFonts w:hint="eastAsia" w:ascii="仿宋_GB2312" w:hAnsi="仿宋" w:eastAsia="仿宋_GB2312" w:cs="仿宋_GB2312"/>
          <w:color w:val="auto"/>
          <w:spacing w:val="4"/>
          <w:kern w:val="0"/>
          <w:sz w:val="32"/>
          <w:szCs w:val="28"/>
        </w:rPr>
        <w:t>中办发〔2024〕20号</w:t>
      </w:r>
      <w:r>
        <w:rPr>
          <w:rFonts w:hint="eastAsia" w:ascii="仿宋_GB2312" w:hAnsi="仿宋" w:eastAsia="仿宋_GB2312" w:cs="仿宋_GB2312"/>
          <w:color w:val="auto"/>
          <w:spacing w:val="4"/>
          <w:kern w:val="0"/>
          <w:sz w:val="32"/>
          <w:szCs w:val="32"/>
        </w:rPr>
        <w:t>）</w:t>
      </w:r>
      <w:r>
        <w:rPr>
          <w:rFonts w:hint="eastAsia" w:ascii="仿宋_GB2312" w:hAnsi="仿宋" w:cs="仿宋_GB2312"/>
          <w:color w:val="auto"/>
          <w:spacing w:val="4"/>
          <w:kern w:val="0"/>
          <w:sz w:val="32"/>
          <w:szCs w:val="32"/>
        </w:rPr>
        <w:t>、《关于加快军队研究生教育改革发展的意见》（军办发</w:t>
      </w:r>
      <w:r>
        <w:rPr>
          <w:rFonts w:hint="eastAsia" w:ascii="仿宋_GB2312" w:hAnsi="仿宋" w:eastAsia="仿宋_GB2312" w:cs="仿宋_GB2312"/>
          <w:color w:val="auto"/>
          <w:spacing w:val="4"/>
          <w:kern w:val="0"/>
          <w:sz w:val="32"/>
          <w:szCs w:val="28"/>
        </w:rPr>
        <w:t>〔202</w:t>
      </w:r>
      <w:r>
        <w:rPr>
          <w:rFonts w:hint="eastAsia" w:ascii="仿宋_GB2312" w:hAnsi="仿宋" w:cs="仿宋_GB2312"/>
          <w:color w:val="auto"/>
          <w:spacing w:val="4"/>
          <w:kern w:val="0"/>
          <w:sz w:val="32"/>
          <w:szCs w:val="28"/>
        </w:rPr>
        <w:t>2</w:t>
      </w:r>
      <w:r>
        <w:rPr>
          <w:rFonts w:hint="eastAsia" w:ascii="仿宋_GB2312" w:hAnsi="仿宋" w:eastAsia="仿宋_GB2312" w:cs="仿宋_GB2312"/>
          <w:color w:val="auto"/>
          <w:spacing w:val="4"/>
          <w:kern w:val="0"/>
          <w:sz w:val="32"/>
          <w:szCs w:val="28"/>
        </w:rPr>
        <w:t>〕</w:t>
      </w:r>
      <w:r>
        <w:rPr>
          <w:rFonts w:hint="eastAsia" w:ascii="仿宋_GB2312" w:hAnsi="仿宋" w:cs="仿宋_GB2312"/>
          <w:color w:val="auto"/>
          <w:spacing w:val="4"/>
          <w:kern w:val="0"/>
          <w:sz w:val="32"/>
          <w:szCs w:val="28"/>
        </w:rPr>
        <w:t>7</w:t>
      </w:r>
      <w:r>
        <w:rPr>
          <w:rFonts w:hint="eastAsia" w:ascii="仿宋_GB2312" w:hAnsi="仿宋" w:eastAsia="仿宋_GB2312" w:cs="仿宋_GB2312"/>
          <w:color w:val="auto"/>
          <w:spacing w:val="4"/>
          <w:kern w:val="0"/>
          <w:sz w:val="32"/>
          <w:szCs w:val="28"/>
        </w:rPr>
        <w:t>0号</w:t>
      </w:r>
      <w:r>
        <w:rPr>
          <w:rFonts w:hint="eastAsia" w:ascii="仿宋_GB2312" w:hAnsi="仿宋" w:cs="仿宋_GB2312"/>
          <w:color w:val="auto"/>
          <w:spacing w:val="4"/>
          <w:kern w:val="0"/>
          <w:sz w:val="32"/>
          <w:szCs w:val="32"/>
        </w:rPr>
        <w:t>）等</w:t>
      </w:r>
      <w:r>
        <w:rPr>
          <w:rFonts w:hint="eastAsia" w:ascii="仿宋_GB2312" w:hAnsi="仿宋" w:eastAsia="仿宋_GB2312" w:cs="仿宋_GB2312"/>
          <w:color w:val="auto"/>
          <w:spacing w:val="4"/>
          <w:kern w:val="0"/>
          <w:sz w:val="32"/>
          <w:szCs w:val="32"/>
        </w:rPr>
        <w:t>有关文件精神，为适应高层次拔尖创新人才培养需求，结合学校实际情况，制定本办法。</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第二条</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“申请</w:t>
      </w:r>
      <w:r>
        <w:rPr>
          <w:rFonts w:ascii="仿宋_GB2312" w:hAnsi="宋体" w:eastAsia="仿宋_GB2312" w:cs="仿宋_GB2312"/>
          <w:color w:val="auto"/>
          <w:spacing w:val="4"/>
          <w:kern w:val="0"/>
          <w:sz w:val="32"/>
          <w:szCs w:val="32"/>
        </w:rPr>
        <w:t>-</w:t>
      </w:r>
      <w:r>
        <w:rPr>
          <w:rFonts w:hint="eastAsia" w:ascii="仿宋_GB2312" w:hAnsi="宋体" w:eastAsia="仿宋_GB2312" w:cs="仿宋_GB2312"/>
          <w:color w:val="auto"/>
          <w:spacing w:val="4"/>
          <w:kern w:val="0"/>
          <w:sz w:val="32"/>
          <w:szCs w:val="32"/>
        </w:rPr>
        <w:t>考核”制招生旨在突出对申请人知识结构、科学研究素养、培养潜质的考查，选拔综合素质过硬、创新能力突出的博士研究生。“申请</w:t>
      </w:r>
      <w:r>
        <w:rPr>
          <w:rFonts w:ascii="仿宋_GB2312" w:hAnsi="宋体" w:eastAsia="仿宋_GB2312" w:cs="仿宋_GB2312"/>
          <w:color w:val="auto"/>
          <w:spacing w:val="4"/>
          <w:kern w:val="0"/>
          <w:sz w:val="32"/>
          <w:szCs w:val="32"/>
        </w:rPr>
        <w:t>-</w:t>
      </w:r>
      <w:r>
        <w:rPr>
          <w:rFonts w:hint="eastAsia" w:ascii="仿宋_GB2312" w:hAnsi="宋体" w:eastAsia="仿宋_GB2312" w:cs="仿宋_GB2312"/>
          <w:color w:val="auto"/>
          <w:spacing w:val="4"/>
          <w:kern w:val="0"/>
          <w:sz w:val="32"/>
          <w:szCs w:val="32"/>
        </w:rPr>
        <w:t>考核”制招生应坚持综合衡量、择优录取、保证质量、宁缺毋滥的原则。</w:t>
      </w:r>
    </w:p>
    <w:p>
      <w:pPr>
        <w:snapToGrid w:val="0"/>
        <w:spacing w:before="290" w:beforeLines="5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第二章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招生对象和招生导师</w:t>
      </w:r>
    </w:p>
    <w:p>
      <w:pPr>
        <w:widowControl/>
        <w:spacing w:line="560" w:lineRule="exact"/>
        <w:ind w:firstLine="598" w:firstLineChars="200"/>
        <w:rPr>
          <w:rFonts w:ascii="仿宋_GB2312" w:hAnsi="仿宋" w:eastAsia="仿宋_GB2312" w:cs="仿宋_GB2312"/>
          <w:color w:val="auto"/>
          <w:spacing w:val="4"/>
          <w:kern w:val="0"/>
          <w:sz w:val="32"/>
          <w:szCs w:val="32"/>
        </w:rPr>
      </w:pPr>
      <w:r>
        <w:rPr>
          <w:rFonts w:hint="eastAsia" w:ascii="黑体" w:hAnsi="黑体" w:eastAsia="黑体" w:cs="仿宋_GB2312"/>
          <w:bCs/>
          <w:color w:val="auto"/>
          <w:sz w:val="32"/>
          <w:szCs w:val="32"/>
        </w:rPr>
        <w:t>第三条</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招生对象：</w:t>
      </w:r>
    </w:p>
    <w:p>
      <w:pPr>
        <w:spacing w:line="560" w:lineRule="exact"/>
        <w:ind w:firstLine="614" w:firstLineChars="200"/>
        <w:rPr>
          <w:rFonts w:ascii="仿宋_GB2312" w:hAnsi="仿宋" w:eastAsia="仿宋_GB2312" w:cs="仿宋_GB2312"/>
          <w:color w:val="auto"/>
          <w:spacing w:val="4"/>
          <w:kern w:val="0"/>
          <w:sz w:val="32"/>
          <w:szCs w:val="32"/>
        </w:rPr>
      </w:pPr>
      <w:r>
        <w:rPr>
          <w:rFonts w:hint="eastAsia" w:ascii="仿宋_GB2312" w:hAnsi="仿宋" w:eastAsia="仿宋_GB2312" w:cs="仿宋_GB2312"/>
          <w:color w:val="auto"/>
          <w:spacing w:val="4"/>
          <w:kern w:val="0"/>
          <w:sz w:val="32"/>
          <w:szCs w:val="32"/>
        </w:rPr>
        <w:t>（一）</w:t>
      </w:r>
      <w:r>
        <w:rPr>
          <w:rFonts w:hint="eastAsia" w:eastAsia="仿宋_GB2312" w:cs="仿宋_GB2312"/>
          <w:color w:val="auto"/>
          <w:spacing w:val="4"/>
          <w:sz w:val="32"/>
          <w:szCs w:val="32"/>
        </w:rPr>
        <w:t>拥有中国国籍的应届硕士毕业生，</w:t>
      </w:r>
      <w:r>
        <w:rPr>
          <w:rFonts w:hint="eastAsia" w:ascii="仿宋_GB2312" w:hAnsi="仿宋" w:eastAsia="仿宋_GB2312" w:cs="仿宋_GB2312"/>
          <w:color w:val="auto"/>
          <w:spacing w:val="4"/>
          <w:kern w:val="0"/>
          <w:sz w:val="32"/>
          <w:szCs w:val="32"/>
        </w:rPr>
        <w:t>包括正在攻读硕士学位的军队在职军官(含文职人员，下同）。如获录取，入学前须获得硕士学位证书，否则取消入学资格。</w:t>
      </w:r>
    </w:p>
    <w:p>
      <w:pPr>
        <w:widowControl/>
        <w:spacing w:line="560" w:lineRule="exact"/>
        <w:ind w:firstLine="614" w:firstLineChars="200"/>
        <w:rPr>
          <w:rFonts w:ascii="仿宋_GB2312" w:hAnsi="仿宋" w:eastAsia="仿宋_GB2312"/>
          <w:color w:val="auto"/>
          <w:kern w:val="0"/>
          <w:sz w:val="24"/>
        </w:rPr>
      </w:pPr>
      <w:r>
        <w:rPr>
          <w:rFonts w:hint="eastAsia" w:ascii="仿宋_GB2312" w:hAnsi="仿宋" w:eastAsia="仿宋_GB2312" w:cs="仿宋_GB2312"/>
          <w:color w:val="auto"/>
          <w:spacing w:val="4"/>
          <w:kern w:val="0"/>
          <w:sz w:val="32"/>
          <w:szCs w:val="32"/>
        </w:rPr>
        <w:t>（二）拥有中国国籍的已获硕士、博士学位人员。</w:t>
      </w:r>
    </w:p>
    <w:p>
      <w:pPr>
        <w:widowControl/>
        <w:spacing w:line="560" w:lineRule="exact"/>
        <w:ind w:firstLine="598" w:firstLineChars="200"/>
        <w:rPr>
          <w:rFonts w:ascii="仿宋_GB2312" w:eastAsia="仿宋_GB2312"/>
          <w:color w:val="auto"/>
          <w:kern w:val="0"/>
          <w:sz w:val="24"/>
        </w:rPr>
      </w:pPr>
      <w:r>
        <w:rPr>
          <w:rFonts w:hint="eastAsia" w:ascii="黑体" w:hAnsi="黑体" w:eastAsia="黑体" w:cs="仿宋_GB2312"/>
          <w:bCs/>
          <w:color w:val="auto"/>
          <w:sz w:val="32"/>
          <w:szCs w:val="32"/>
        </w:rPr>
        <w:t>第四条</w:t>
      </w:r>
      <w:r>
        <w:rPr>
          <w:rFonts w:ascii="仿宋_GB2312" w:hAnsi="宋体" w:eastAsia="仿宋_GB2312" w:cs="仿宋_GB2312"/>
          <w:color w:val="auto"/>
          <w:spacing w:val="4"/>
          <w:kern w:val="0"/>
          <w:sz w:val="32"/>
          <w:szCs w:val="32"/>
        </w:rPr>
        <w:t xml:space="preserve">  </w:t>
      </w:r>
      <w:r>
        <w:rPr>
          <w:rFonts w:hint="eastAsia" w:ascii="仿宋_GB2312" w:hAnsi="宋体" w:eastAsia="仿宋_GB2312" w:cs="仿宋_GB2312"/>
          <w:color w:val="auto"/>
          <w:spacing w:val="4"/>
          <w:kern w:val="0"/>
          <w:sz w:val="32"/>
          <w:szCs w:val="32"/>
        </w:rPr>
        <w:t>招生导师为学校学位评定委员会认定的当年上岗博士研究生导师（具体见学校当年招生简章）。</w:t>
      </w:r>
    </w:p>
    <w:p>
      <w:pPr>
        <w:snapToGrid w:val="0"/>
        <w:spacing w:before="290" w:beforeLines="5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第三章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报考条件</w:t>
      </w:r>
    </w:p>
    <w:p>
      <w:pPr>
        <w:widowControl/>
        <w:spacing w:line="560" w:lineRule="exact"/>
        <w:ind w:firstLine="598" w:firstLineChars="200"/>
        <w:rPr>
          <w:rFonts w:ascii="仿宋_GB2312" w:eastAsia="仿宋_GB2312"/>
          <w:color w:val="auto"/>
          <w:kern w:val="0"/>
          <w:sz w:val="24"/>
        </w:rPr>
      </w:pPr>
      <w:r>
        <w:rPr>
          <w:rFonts w:hint="eastAsia" w:ascii="黑体" w:hAnsi="黑体" w:eastAsia="黑体" w:cs="仿宋_GB2312"/>
          <w:bCs/>
          <w:color w:val="auto"/>
          <w:sz w:val="32"/>
          <w:szCs w:val="32"/>
        </w:rPr>
        <w:t>第五条</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申请人应具备以下基本条件：</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（一）思想政治基础好，品德良好，遵纪守法，有为国家和军队现代化建设勤奋学习、努力攀登科技高峰的志向。</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（二）身心健康，符合国家、军队和学校相关体检要求。</w:t>
      </w:r>
    </w:p>
    <w:p>
      <w:pPr>
        <w:spacing w:line="560" w:lineRule="exact"/>
        <w:ind w:firstLine="598" w:firstLineChars="200"/>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（三）军人应届硕士毕业生报考须经所在院校批准。军队在职军官报考须符合军队当年有关报考条件，并获所在单位批准。</w:t>
      </w:r>
    </w:p>
    <w:p>
      <w:pPr>
        <w:spacing w:line="560" w:lineRule="exact"/>
        <w:ind w:firstLine="598" w:firstLineChars="200"/>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（四）地方在职人员报考须征得所在单位同意。如定向培养，申请人须与工作单位、培养单位签订三方协议。</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（五）符合当年国家和军队的相关政策规定。</w:t>
      </w:r>
    </w:p>
    <w:p>
      <w:pPr>
        <w:widowControl/>
        <w:spacing w:line="560" w:lineRule="exact"/>
        <w:ind w:firstLine="598" w:firstLineChars="200"/>
        <w:rPr>
          <w:rFonts w:ascii="仿宋_GB2312" w:eastAsia="仿宋_GB2312"/>
          <w:color w:val="auto"/>
          <w:kern w:val="0"/>
          <w:sz w:val="24"/>
        </w:rPr>
      </w:pPr>
      <w:r>
        <w:rPr>
          <w:rFonts w:hint="eastAsia" w:ascii="黑体" w:hAnsi="黑体" w:eastAsia="黑体" w:cs="仿宋_GB2312"/>
          <w:bCs/>
          <w:color w:val="auto"/>
          <w:sz w:val="32"/>
          <w:szCs w:val="32"/>
        </w:rPr>
        <w:t>第六条</w:t>
      </w:r>
      <w:r>
        <w:rPr>
          <w:rFonts w:ascii="仿宋_GB2312" w:hAnsi="宋体" w:eastAsia="仿宋_GB2312" w:cs="仿宋_GB2312"/>
          <w:color w:val="auto"/>
          <w:spacing w:val="4"/>
          <w:kern w:val="0"/>
          <w:sz w:val="32"/>
          <w:szCs w:val="32"/>
        </w:rPr>
        <w:t xml:space="preserve">  </w:t>
      </w:r>
      <w:r>
        <w:rPr>
          <w:rFonts w:hint="eastAsia" w:ascii="仿宋_GB2312" w:hAnsi="宋体" w:eastAsia="仿宋_GB2312" w:cs="仿宋_GB2312"/>
          <w:color w:val="auto"/>
          <w:spacing w:val="4"/>
          <w:kern w:val="0"/>
          <w:sz w:val="32"/>
          <w:szCs w:val="32"/>
        </w:rPr>
        <w:t>申请人近五年（</w:t>
      </w:r>
      <w:r>
        <w:rPr>
          <w:rFonts w:hint="eastAsia" w:ascii="仿宋_GB2312" w:hAnsi="楷体" w:eastAsia="仿宋_GB2312" w:cs="仿宋_GB2312"/>
          <w:color w:val="auto"/>
          <w:spacing w:val="4"/>
          <w:kern w:val="0"/>
          <w:sz w:val="32"/>
          <w:szCs w:val="32"/>
        </w:rPr>
        <w:t>截至报名当年9月30日，下同</w:t>
      </w:r>
      <w:r>
        <w:rPr>
          <w:rFonts w:hint="eastAsia" w:ascii="仿宋_GB2312" w:hAnsi="宋体" w:eastAsia="仿宋_GB2312" w:cs="仿宋_GB2312"/>
          <w:color w:val="auto"/>
          <w:spacing w:val="4"/>
          <w:kern w:val="0"/>
          <w:sz w:val="32"/>
          <w:szCs w:val="32"/>
        </w:rPr>
        <w:t>）外语水平应达到以下条件之一：</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（一）托福成绩≥</w:t>
      </w:r>
      <w:r>
        <w:rPr>
          <w:rFonts w:ascii="仿宋_GB2312" w:hAnsi="仿宋" w:eastAsia="仿宋_GB2312" w:cs="仿宋_GB2312"/>
          <w:color w:val="auto"/>
          <w:sz w:val="32"/>
          <w:szCs w:val="32"/>
        </w:rPr>
        <w:t>75</w:t>
      </w:r>
      <w:r>
        <w:rPr>
          <w:rFonts w:hint="eastAsia" w:ascii="仿宋_GB2312" w:hAnsi="仿宋" w:eastAsia="仿宋_GB2312" w:cs="仿宋_GB2312"/>
          <w:color w:val="auto"/>
          <w:sz w:val="32"/>
          <w:szCs w:val="32"/>
        </w:rPr>
        <w:t>分。</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（二）雅思成绩≥</w:t>
      </w:r>
      <w:r>
        <w:rPr>
          <w:rFonts w:ascii="仿宋_GB2312" w:hAnsi="仿宋" w:eastAsia="仿宋_GB2312" w:cs="仿宋_GB2312"/>
          <w:color w:val="auto"/>
          <w:sz w:val="32"/>
          <w:szCs w:val="32"/>
        </w:rPr>
        <w:t>6</w:t>
      </w:r>
      <w:r>
        <w:rPr>
          <w:rFonts w:hint="eastAsia" w:ascii="仿宋_GB2312" w:hAnsi="仿宋" w:eastAsia="仿宋_GB2312" w:cs="仿宋_GB2312"/>
          <w:color w:val="auto"/>
          <w:sz w:val="32"/>
          <w:szCs w:val="32"/>
        </w:rPr>
        <w:t>分。</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（三）全国大学英语六级考试成绩≥</w:t>
      </w:r>
      <w:r>
        <w:rPr>
          <w:rFonts w:ascii="仿宋_GB2312" w:hAnsi="仿宋" w:eastAsia="仿宋_GB2312" w:cs="仿宋_GB2312"/>
          <w:color w:val="auto"/>
          <w:sz w:val="32"/>
          <w:szCs w:val="32"/>
        </w:rPr>
        <w:t>425</w:t>
      </w:r>
      <w:r>
        <w:rPr>
          <w:rFonts w:hint="eastAsia" w:ascii="仿宋_GB2312" w:hAnsi="仿宋" w:eastAsia="仿宋_GB2312" w:cs="仿宋_GB2312"/>
          <w:color w:val="auto"/>
          <w:sz w:val="32"/>
          <w:szCs w:val="32"/>
        </w:rPr>
        <w:t>分。</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（四）全国高校英语专业四级（含）合格以上。</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（五）在英语国家或地区留学、访问超过</w:t>
      </w:r>
      <w:r>
        <w:rPr>
          <w:rFonts w:ascii="仿宋_GB2312" w:hAnsi="仿宋" w:eastAsia="仿宋_GB2312" w:cs="仿宋_GB2312"/>
          <w:color w:val="auto"/>
          <w:sz w:val="32"/>
          <w:szCs w:val="32"/>
        </w:rPr>
        <w:t>1</w:t>
      </w:r>
      <w:r>
        <w:rPr>
          <w:rFonts w:hint="eastAsia" w:ascii="仿宋_GB2312" w:hAnsi="仿宋" w:eastAsia="仿宋_GB2312" w:cs="仿宋_GB2312"/>
          <w:color w:val="auto"/>
          <w:sz w:val="32"/>
          <w:szCs w:val="32"/>
        </w:rPr>
        <w:t>学年（10个月以上）。</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（六）通过报考当年学校组织的博士研究生入学英语水平测试。</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（七）其它语种须达到全国高校外语专业四级（含）合格以上或招生学科（含专业，下同）在《实施细则》中明确的有关条件。</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第七条</w:t>
      </w:r>
      <w:r>
        <w:rPr>
          <w:rFonts w:ascii="仿宋_GB2312" w:hAnsi="宋体" w:eastAsia="仿宋_GB2312" w:cs="仿宋_GB2312"/>
          <w:color w:val="auto"/>
          <w:spacing w:val="4"/>
          <w:kern w:val="0"/>
          <w:sz w:val="32"/>
          <w:szCs w:val="32"/>
        </w:rPr>
        <w:t xml:space="preserve">  </w:t>
      </w:r>
      <w:r>
        <w:rPr>
          <w:rFonts w:hint="eastAsia" w:ascii="仿宋_GB2312" w:hAnsi="宋体" w:eastAsia="仿宋_GB2312" w:cs="仿宋_GB2312"/>
          <w:color w:val="auto"/>
          <w:spacing w:val="4"/>
          <w:kern w:val="0"/>
          <w:sz w:val="32"/>
          <w:szCs w:val="32"/>
        </w:rPr>
        <w:t>申请人须满足</w:t>
      </w:r>
      <w:r>
        <w:rPr>
          <w:rFonts w:hint="eastAsia" w:ascii="仿宋_GB2312" w:eastAsia="仿宋_GB2312" w:cs="仿宋_GB2312"/>
          <w:color w:val="auto"/>
          <w:sz w:val="32"/>
          <w:szCs w:val="32"/>
        </w:rPr>
        <w:t>以下条件之一：</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（一）近五年以第一作者发表或录用</w:t>
      </w:r>
      <w:r>
        <w:rPr>
          <w:rFonts w:hint="eastAsia" w:ascii="仿宋_GB2312" w:hAnsi="仿宋" w:cs="仿宋_GB2312"/>
          <w:color w:val="auto"/>
          <w:sz w:val="32"/>
          <w:szCs w:val="32"/>
        </w:rPr>
        <w:t>1</w:t>
      </w:r>
      <w:r>
        <w:rPr>
          <w:rFonts w:hint="eastAsia" w:ascii="仿宋_GB2312" w:hAnsi="仿宋" w:eastAsia="仿宋_GB2312" w:cs="仿宋_GB2312"/>
          <w:color w:val="auto"/>
          <w:sz w:val="32"/>
          <w:szCs w:val="32"/>
        </w:rPr>
        <w:t>篇与报考学科紧密相关的学术论文（若为第二作者，第一作者须为其前置学历导师）。</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（二）应届硕士毕业生在学期间课程学习成绩优异。国防科技大学硕士研究生课程学习成绩综合评定值</w:t>
      </w:r>
      <w:r>
        <w:rPr>
          <w:rFonts w:hint="eastAsia" w:ascii="仿宋_GB2312" w:hAnsi="仿宋" w:cs="仿宋_GB2312"/>
          <w:color w:val="auto"/>
          <w:sz w:val="32"/>
          <w:szCs w:val="32"/>
        </w:rPr>
        <w:t>2.0</w:t>
      </w:r>
      <w:r>
        <w:rPr>
          <w:rFonts w:hint="eastAsia" w:ascii="仿宋_GB2312" w:hAnsi="仿宋" w:eastAsia="仿宋_GB2312" w:cs="仿宋_GB2312"/>
          <w:color w:val="auto"/>
          <w:sz w:val="32"/>
          <w:szCs w:val="32"/>
        </w:rPr>
        <w:t>（含)以上；其他学校硕士研究生课程学习成绩在所在培养单位专业（年级）排名前10%以内(或专业前两名)，具体以培养单位教务部门证明为准。</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（三）近五年参加国家或军队重大项目（任务）并做出重要贡献，或在学科竞赛、科学研究等方面成绩突出，并获得学校报考学科或相近学科当年上岗</w:t>
      </w:r>
      <w:r>
        <w:rPr>
          <w:rFonts w:hint="eastAsia" w:ascii="仿宋_GB2312" w:hAnsi="仿宋" w:eastAsia="仿宋_GB2312" w:cs="仿宋_GB2312"/>
          <w:color w:val="auto"/>
          <w:spacing w:val="4"/>
          <w:kern w:val="0"/>
          <w:sz w:val="32"/>
          <w:szCs w:val="32"/>
        </w:rPr>
        <w:t>博士研究生导师</w:t>
      </w:r>
      <w:r>
        <w:rPr>
          <w:rFonts w:hint="eastAsia" w:ascii="仿宋_GB2312" w:hAnsi="仿宋" w:eastAsia="仿宋_GB2312" w:cs="仿宋_GB2312"/>
          <w:color w:val="auto"/>
          <w:sz w:val="32"/>
          <w:szCs w:val="32"/>
        </w:rPr>
        <w:t>3人以上“特别推荐”（每名上岗</w:t>
      </w:r>
      <w:r>
        <w:rPr>
          <w:rFonts w:hint="eastAsia" w:ascii="仿宋_GB2312" w:hAnsi="仿宋" w:eastAsia="仿宋_GB2312" w:cs="仿宋_GB2312"/>
          <w:color w:val="auto"/>
          <w:spacing w:val="4"/>
          <w:kern w:val="0"/>
          <w:sz w:val="32"/>
          <w:szCs w:val="32"/>
        </w:rPr>
        <w:t>博士研究生导师</w:t>
      </w:r>
      <w:r>
        <w:rPr>
          <w:rFonts w:hint="eastAsia" w:ascii="仿宋_GB2312" w:hAnsi="仿宋" w:eastAsia="仿宋_GB2312" w:cs="仿宋_GB2312"/>
          <w:color w:val="auto"/>
          <w:sz w:val="32"/>
          <w:szCs w:val="32"/>
        </w:rPr>
        <w:t>每年最多只能“特别推荐”1名申请人）。</w:t>
      </w:r>
    </w:p>
    <w:p>
      <w:pPr>
        <w:spacing w:line="560" w:lineRule="exact"/>
        <w:ind w:firstLine="598" w:firstLineChars="200"/>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（四）近五年获得1次二等功以上奖励或二级以上表彰。</w:t>
      </w:r>
    </w:p>
    <w:p>
      <w:pPr>
        <w:spacing w:line="560" w:lineRule="exact"/>
        <w:ind w:firstLine="598" w:firstLineChars="200"/>
        <w:rPr>
          <w:rFonts w:ascii="仿宋_GB2312" w:hAnsi="仿宋" w:eastAsia="仿宋_GB2312"/>
          <w:color w:val="auto"/>
          <w:sz w:val="32"/>
          <w:szCs w:val="32"/>
        </w:rPr>
      </w:pPr>
      <w:r>
        <w:rPr>
          <w:rFonts w:hint="eastAsia" w:ascii="仿宋_GB2312" w:hAnsi="仿宋" w:eastAsia="仿宋_GB2312" w:cs="仿宋_GB2312"/>
          <w:color w:val="auto"/>
          <w:sz w:val="32"/>
          <w:szCs w:val="32"/>
        </w:rPr>
        <w:t>（五）现任军队建制连以上单位主官。</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第八条</w:t>
      </w:r>
      <w:r>
        <w:rPr>
          <w:rFonts w:hint="eastAsia" w:ascii="仿宋_GB2312" w:eastAsia="仿宋_GB2312" w:cs="仿宋_GB2312"/>
          <w:b/>
          <w:bCs/>
          <w:color w:val="auto"/>
          <w:sz w:val="32"/>
          <w:szCs w:val="32"/>
        </w:rPr>
        <w:t xml:space="preserve"> </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招生学院可根据招生学科特点，在第六条、第七条基础上，进一步提高标准或增设其它学术性条件。</w:t>
      </w:r>
    </w:p>
    <w:p>
      <w:pPr>
        <w:snapToGrid w:val="0"/>
        <w:spacing w:before="290" w:beforeLines="5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第四章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报名及申请材料</w:t>
      </w:r>
    </w:p>
    <w:p>
      <w:pPr>
        <w:widowControl/>
        <w:spacing w:line="560" w:lineRule="exact"/>
        <w:ind w:firstLine="598" w:firstLineChars="200"/>
        <w:rPr>
          <w:rFonts w:ascii="仿宋_GB2312" w:eastAsia="仿宋_GB2312"/>
          <w:color w:val="auto"/>
          <w:kern w:val="0"/>
          <w:sz w:val="24"/>
        </w:rPr>
      </w:pPr>
      <w:r>
        <w:rPr>
          <w:rFonts w:hint="eastAsia" w:ascii="黑体" w:hAnsi="黑体" w:eastAsia="黑体" w:cs="仿宋_GB2312"/>
          <w:bCs/>
          <w:color w:val="auto"/>
          <w:sz w:val="32"/>
          <w:szCs w:val="32"/>
        </w:rPr>
        <w:t>第九条</w:t>
      </w:r>
      <w:r>
        <w:rPr>
          <w:rFonts w:hint="eastAsia" w:ascii="仿宋_GB2312" w:eastAsia="仿宋_GB2312" w:cs="仿宋_GB2312"/>
          <w:b/>
          <w:bCs/>
          <w:color w:val="auto"/>
          <w:sz w:val="32"/>
          <w:szCs w:val="32"/>
        </w:rPr>
        <w:t xml:space="preserve"> </w:t>
      </w:r>
      <w:r>
        <w:rPr>
          <w:rFonts w:ascii="仿宋_GB2312" w:hAnsi="宋体" w:eastAsia="仿宋_GB2312" w:cs="仿宋_GB2312"/>
          <w:color w:val="auto"/>
          <w:spacing w:val="4"/>
          <w:kern w:val="0"/>
          <w:sz w:val="32"/>
          <w:szCs w:val="32"/>
        </w:rPr>
        <w:t xml:space="preserve"> </w:t>
      </w:r>
      <w:r>
        <w:rPr>
          <w:rFonts w:hint="eastAsia" w:ascii="仿宋_GB2312" w:hAnsi="宋体" w:eastAsia="仿宋_GB2312" w:cs="仿宋_GB2312"/>
          <w:color w:val="auto"/>
          <w:spacing w:val="4"/>
          <w:kern w:val="0"/>
          <w:sz w:val="32"/>
          <w:szCs w:val="32"/>
        </w:rPr>
        <w:t>申请人</w:t>
      </w:r>
      <w:r>
        <w:rPr>
          <w:rFonts w:hint="eastAsia" w:ascii="仿宋_GB2312" w:hAnsi="宋体" w:cs="仿宋_GB2312"/>
          <w:color w:val="auto"/>
          <w:spacing w:val="4"/>
          <w:kern w:val="0"/>
          <w:sz w:val="32"/>
          <w:szCs w:val="32"/>
        </w:rPr>
        <w:t>须在规定的时间内</w:t>
      </w:r>
      <w:r>
        <w:rPr>
          <w:rFonts w:hint="eastAsia" w:ascii="仿宋_GB2312" w:eastAsia="仿宋_GB2312" w:cs="仿宋_GB2312"/>
          <w:color w:val="auto"/>
          <w:sz w:val="32"/>
          <w:szCs w:val="32"/>
        </w:rPr>
        <w:t>登录学校研究生招生信息网报名</w:t>
      </w:r>
      <w:r>
        <w:rPr>
          <w:rFonts w:hint="eastAsia" w:ascii="仿宋_GB2312" w:cs="仿宋_GB2312"/>
          <w:color w:val="auto"/>
          <w:sz w:val="32"/>
          <w:szCs w:val="32"/>
        </w:rPr>
        <w:t>，</w:t>
      </w:r>
      <w:r>
        <w:rPr>
          <w:rFonts w:hint="eastAsia" w:ascii="仿宋_GB2312" w:hAnsi="宋体" w:eastAsia="仿宋_GB2312" w:cs="仿宋_GB2312"/>
          <w:color w:val="auto"/>
          <w:spacing w:val="4"/>
          <w:kern w:val="0"/>
          <w:sz w:val="32"/>
          <w:szCs w:val="32"/>
        </w:rPr>
        <w:t>报名时间以学校当年通知为准。</w:t>
      </w:r>
    </w:p>
    <w:p>
      <w:pPr>
        <w:widowControl/>
        <w:spacing w:line="560" w:lineRule="exact"/>
        <w:ind w:firstLine="598" w:firstLineChars="200"/>
        <w:rPr>
          <w:rFonts w:ascii="仿宋_GB2312" w:eastAsia="仿宋_GB2312"/>
          <w:color w:val="auto"/>
          <w:kern w:val="0"/>
          <w:sz w:val="24"/>
        </w:rPr>
      </w:pPr>
      <w:r>
        <w:rPr>
          <w:rFonts w:hint="eastAsia" w:ascii="黑体" w:hAnsi="黑体" w:eastAsia="黑体" w:cs="仿宋_GB2312"/>
          <w:bCs/>
          <w:color w:val="auto"/>
          <w:sz w:val="32"/>
          <w:szCs w:val="32"/>
        </w:rPr>
        <w:t>第十条</w:t>
      </w:r>
      <w:r>
        <w:rPr>
          <w:rFonts w:ascii="仿宋_GB2312" w:hAnsi="宋体" w:eastAsia="仿宋_GB2312" w:cs="仿宋_GB2312"/>
          <w:color w:val="auto"/>
          <w:spacing w:val="4"/>
          <w:kern w:val="0"/>
          <w:sz w:val="32"/>
          <w:szCs w:val="32"/>
        </w:rPr>
        <w:t xml:space="preserve"> </w:t>
      </w:r>
      <w:r>
        <w:rPr>
          <w:rFonts w:hint="eastAsia" w:ascii="仿宋_GB2312" w:hAnsi="宋体" w:eastAsia="仿宋_GB2312" w:cs="仿宋_GB2312"/>
          <w:color w:val="auto"/>
          <w:spacing w:val="4"/>
          <w:kern w:val="0"/>
          <w:sz w:val="32"/>
          <w:szCs w:val="32"/>
        </w:rPr>
        <w:t>申请人</w:t>
      </w:r>
      <w:r>
        <w:rPr>
          <w:rFonts w:hint="eastAsia" w:ascii="仿宋_GB2312" w:hAnsi="宋体" w:cs="仿宋_GB2312"/>
          <w:color w:val="auto"/>
          <w:spacing w:val="4"/>
          <w:kern w:val="0"/>
          <w:sz w:val="32"/>
          <w:szCs w:val="32"/>
        </w:rPr>
        <w:t>应按</w:t>
      </w:r>
      <w:r>
        <w:rPr>
          <w:rFonts w:hint="eastAsia" w:ascii="仿宋_GB2312" w:eastAsia="仿宋_GB2312" w:cs="仿宋_GB2312"/>
          <w:color w:val="auto"/>
          <w:sz w:val="32"/>
          <w:szCs w:val="32"/>
        </w:rPr>
        <w:t>招生学院要求交验有关</w:t>
      </w:r>
      <w:r>
        <w:rPr>
          <w:rFonts w:hint="eastAsia" w:ascii="仿宋_GB2312" w:hAnsi="宋体" w:eastAsia="仿宋_GB2312" w:cs="仿宋_GB2312"/>
          <w:color w:val="auto"/>
          <w:spacing w:val="4"/>
          <w:kern w:val="0"/>
          <w:sz w:val="32"/>
          <w:szCs w:val="32"/>
        </w:rPr>
        <w:t>报名材料</w:t>
      </w:r>
      <w:r>
        <w:rPr>
          <w:rFonts w:hint="eastAsia" w:ascii="仿宋_GB2312" w:hAnsi="宋体" w:cs="仿宋_GB2312"/>
          <w:color w:val="auto"/>
          <w:spacing w:val="4"/>
          <w:kern w:val="0"/>
          <w:sz w:val="32"/>
          <w:szCs w:val="32"/>
        </w:rPr>
        <w:t>，主要</w:t>
      </w:r>
      <w:r>
        <w:rPr>
          <w:rFonts w:hint="eastAsia" w:ascii="仿宋_GB2312" w:hAnsi="宋体" w:eastAsia="仿宋_GB2312" w:cs="仿宋_GB2312"/>
          <w:color w:val="auto"/>
          <w:spacing w:val="4"/>
          <w:kern w:val="0"/>
          <w:sz w:val="32"/>
          <w:szCs w:val="32"/>
        </w:rPr>
        <w:t>包括：</w:t>
      </w:r>
    </w:p>
    <w:p>
      <w:pPr>
        <w:widowControl/>
        <w:spacing w:line="560" w:lineRule="exact"/>
        <w:ind w:firstLine="614" w:firstLineChars="200"/>
        <w:rPr>
          <w:rFonts w:ascii="仿宋_GB2312" w:hAnsi="仿宋" w:eastAsia="仿宋_GB2312"/>
          <w:color w:val="auto"/>
          <w:spacing w:val="4"/>
          <w:kern w:val="0"/>
          <w:sz w:val="32"/>
          <w:szCs w:val="32"/>
        </w:rPr>
      </w:pPr>
      <w:r>
        <w:rPr>
          <w:rFonts w:hint="eastAsia" w:ascii="仿宋_GB2312" w:hAnsi="仿宋" w:eastAsia="仿宋_GB2312" w:cs="仿宋_GB2312"/>
          <w:color w:val="auto"/>
          <w:spacing w:val="4"/>
          <w:kern w:val="0"/>
          <w:sz w:val="32"/>
          <w:szCs w:val="32"/>
        </w:rPr>
        <w:t>（一）《报考攻读</w:t>
      </w:r>
      <w:r>
        <w:rPr>
          <w:rFonts w:hint="eastAsia" w:ascii="仿宋_GB2312" w:hAnsi="仿宋" w:eastAsia="仿宋_GB2312" w:cs="仿宋_GB2312"/>
          <w:color w:val="auto"/>
          <w:sz w:val="32"/>
          <w:szCs w:val="32"/>
        </w:rPr>
        <w:t>博士学位研究生登记表》</w:t>
      </w:r>
      <w:r>
        <w:rPr>
          <w:rFonts w:hint="eastAsia" w:ascii="仿宋_GB2312" w:hAnsi="仿宋" w:eastAsia="仿宋_GB2312" w:cs="仿宋_GB2312"/>
          <w:color w:val="auto"/>
          <w:spacing w:val="4"/>
          <w:kern w:val="0"/>
          <w:sz w:val="32"/>
          <w:szCs w:val="32"/>
        </w:rPr>
        <w:t>（含两份相关学科正高级职称专家推荐信）。</w:t>
      </w:r>
    </w:p>
    <w:p>
      <w:pPr>
        <w:widowControl/>
        <w:spacing w:line="560" w:lineRule="exact"/>
        <w:ind w:firstLine="614" w:firstLineChars="200"/>
        <w:rPr>
          <w:rFonts w:ascii="仿宋_GB2312" w:hAnsi="仿宋" w:eastAsia="仿宋_GB2312" w:cs="仿宋_GB2312"/>
          <w:color w:val="auto"/>
          <w:spacing w:val="4"/>
          <w:kern w:val="0"/>
          <w:sz w:val="32"/>
          <w:szCs w:val="32"/>
        </w:rPr>
      </w:pPr>
      <w:r>
        <w:rPr>
          <w:rFonts w:hint="eastAsia" w:ascii="仿宋_GB2312" w:hAnsi="仿宋" w:eastAsia="仿宋_GB2312" w:cs="仿宋_GB2312"/>
          <w:color w:val="auto"/>
          <w:spacing w:val="4"/>
          <w:kern w:val="0"/>
          <w:sz w:val="32"/>
          <w:szCs w:val="32"/>
        </w:rPr>
        <w:t>（二）有效身份证</w:t>
      </w:r>
      <w:r>
        <w:rPr>
          <w:rFonts w:hint="eastAsia" w:ascii="仿宋_GB2312" w:hAnsi="仿宋" w:cs="仿宋_GB2312"/>
          <w:color w:val="auto"/>
          <w:spacing w:val="4"/>
          <w:kern w:val="0"/>
          <w:sz w:val="32"/>
          <w:szCs w:val="32"/>
        </w:rPr>
        <w:t>明</w:t>
      </w:r>
      <w:r>
        <w:rPr>
          <w:rFonts w:hint="eastAsia" w:ascii="仿宋_GB2312" w:hAnsi="仿宋" w:eastAsia="仿宋_GB2312" w:cs="仿宋_GB2312"/>
          <w:color w:val="auto"/>
          <w:spacing w:val="4"/>
          <w:kern w:val="0"/>
          <w:sz w:val="32"/>
          <w:szCs w:val="32"/>
        </w:rPr>
        <w:t>复印件。</w:t>
      </w:r>
    </w:p>
    <w:p>
      <w:pPr>
        <w:widowControl/>
        <w:spacing w:line="560" w:lineRule="exact"/>
        <w:ind w:firstLine="614" w:firstLineChars="200"/>
        <w:rPr>
          <w:rFonts w:ascii="仿宋_GB2312" w:hAnsi="仿宋" w:eastAsia="仿宋_GB2312"/>
          <w:color w:val="auto"/>
          <w:kern w:val="0"/>
          <w:sz w:val="24"/>
        </w:rPr>
      </w:pPr>
      <w:r>
        <w:rPr>
          <w:rFonts w:hint="eastAsia" w:ascii="仿宋_GB2312" w:hAnsi="仿宋" w:eastAsia="仿宋_GB2312" w:cs="仿宋_GB2312"/>
          <w:color w:val="auto"/>
          <w:spacing w:val="4"/>
          <w:kern w:val="0"/>
          <w:sz w:val="32"/>
          <w:szCs w:val="32"/>
        </w:rPr>
        <w:t>（三）</w:t>
      </w:r>
      <w:r>
        <w:rPr>
          <w:rFonts w:hint="eastAsia" w:ascii="仿宋_GB2312" w:hAnsi="仿宋" w:eastAsia="仿宋_GB2312" w:cs="仿宋_GB2312"/>
          <w:color w:val="auto"/>
          <w:sz w:val="32"/>
          <w:szCs w:val="32"/>
        </w:rPr>
        <w:t>军人应届硕士毕业生提交学员证复印件、《应届毕业生报考研究生推荐审批表》；军队在职军官提交军官证复印件、《军队在职军官报考研究生推荐审批表》（其他人员提供相应证件及表格）；地方应届硕士毕业生提交《学籍电子注册备案表》、学生证复印件；地方在职人员提交工作单位或档案所在单位介绍信。</w:t>
      </w:r>
    </w:p>
    <w:p>
      <w:pPr>
        <w:widowControl/>
        <w:spacing w:line="560" w:lineRule="exact"/>
        <w:ind w:firstLine="614" w:firstLineChars="200"/>
        <w:rPr>
          <w:rFonts w:ascii="仿宋_GB2312" w:hAnsi="仿宋" w:eastAsia="仿宋_GB2312"/>
          <w:color w:val="auto"/>
          <w:spacing w:val="4"/>
          <w:kern w:val="0"/>
          <w:sz w:val="32"/>
          <w:szCs w:val="32"/>
        </w:rPr>
      </w:pPr>
      <w:r>
        <w:rPr>
          <w:rFonts w:hint="eastAsia" w:ascii="仿宋_GB2312" w:hAnsi="仿宋" w:eastAsia="仿宋_GB2312" w:cs="仿宋_GB2312"/>
          <w:color w:val="auto"/>
          <w:spacing w:val="4"/>
          <w:kern w:val="0"/>
          <w:sz w:val="32"/>
          <w:szCs w:val="32"/>
        </w:rPr>
        <w:t>（四）经报考导师审核的拟攻读博士学位研究计划书。</w:t>
      </w:r>
    </w:p>
    <w:p>
      <w:pPr>
        <w:widowControl/>
        <w:spacing w:line="560" w:lineRule="exact"/>
        <w:ind w:firstLine="614" w:firstLineChars="200"/>
        <w:rPr>
          <w:rFonts w:ascii="仿宋_GB2312" w:hAnsi="仿宋" w:eastAsia="仿宋_GB2312"/>
          <w:color w:val="auto"/>
          <w:kern w:val="0"/>
          <w:sz w:val="24"/>
        </w:rPr>
      </w:pPr>
      <w:r>
        <w:rPr>
          <w:rFonts w:hint="eastAsia" w:ascii="仿宋_GB2312" w:hAnsi="仿宋" w:eastAsia="仿宋_GB2312" w:cs="仿宋_GB2312"/>
          <w:color w:val="auto"/>
          <w:spacing w:val="4"/>
          <w:kern w:val="0"/>
          <w:sz w:val="32"/>
          <w:szCs w:val="32"/>
        </w:rPr>
        <w:t>（五）本科及以上学历、学位证书复印件或相关学位认证材料。获得境外学位申请人须提供教育部留学服务中心出具的《国（境）外学历学位认证书》复印件。以上原件在入学时查验。</w:t>
      </w:r>
    </w:p>
    <w:p>
      <w:pPr>
        <w:widowControl/>
        <w:spacing w:line="560" w:lineRule="exact"/>
        <w:ind w:firstLine="614" w:firstLineChars="200"/>
        <w:rPr>
          <w:rFonts w:ascii="仿宋_GB2312" w:hAnsi="仿宋" w:eastAsia="仿宋_GB2312"/>
          <w:color w:val="auto"/>
          <w:kern w:val="0"/>
          <w:sz w:val="24"/>
        </w:rPr>
      </w:pPr>
      <w:r>
        <w:rPr>
          <w:rFonts w:hint="eastAsia" w:ascii="仿宋_GB2312" w:hAnsi="仿宋" w:eastAsia="仿宋_GB2312" w:cs="仿宋_GB2312"/>
          <w:color w:val="auto"/>
          <w:spacing w:val="4"/>
          <w:kern w:val="0"/>
          <w:sz w:val="32"/>
          <w:szCs w:val="32"/>
        </w:rPr>
        <w:t>（六）硕士阶段学习成绩单（须加盖培养单位公章）。</w:t>
      </w:r>
    </w:p>
    <w:p>
      <w:pPr>
        <w:widowControl/>
        <w:spacing w:line="560" w:lineRule="exact"/>
        <w:ind w:firstLine="614" w:firstLineChars="200"/>
        <w:rPr>
          <w:rFonts w:ascii="仿宋_GB2312" w:hAnsi="仿宋" w:eastAsia="仿宋_GB2312"/>
          <w:color w:val="auto"/>
          <w:kern w:val="0"/>
          <w:sz w:val="24"/>
        </w:rPr>
      </w:pPr>
      <w:r>
        <w:rPr>
          <w:rFonts w:hint="eastAsia" w:ascii="仿宋_GB2312" w:hAnsi="仿宋" w:eastAsia="仿宋_GB2312" w:cs="仿宋_GB2312"/>
          <w:color w:val="auto"/>
          <w:spacing w:val="4"/>
          <w:kern w:val="0"/>
          <w:sz w:val="32"/>
          <w:szCs w:val="32"/>
        </w:rPr>
        <w:t>（七）外语水平证明材料。</w:t>
      </w:r>
    </w:p>
    <w:p>
      <w:pPr>
        <w:widowControl/>
        <w:spacing w:line="560" w:lineRule="exact"/>
        <w:ind w:firstLine="614" w:firstLineChars="200"/>
        <w:rPr>
          <w:rFonts w:ascii="仿宋_GB2312" w:hAnsi="仿宋" w:eastAsia="仿宋_GB2312" w:cs="仿宋_GB2312"/>
          <w:color w:val="auto"/>
          <w:spacing w:val="4"/>
          <w:kern w:val="0"/>
          <w:sz w:val="32"/>
          <w:szCs w:val="32"/>
        </w:rPr>
      </w:pPr>
      <w:r>
        <w:rPr>
          <w:rFonts w:hint="eastAsia" w:ascii="仿宋_GB2312" w:hAnsi="仿宋" w:eastAsia="仿宋_GB2312" w:cs="仿宋_GB2312"/>
          <w:color w:val="auto"/>
          <w:spacing w:val="4"/>
          <w:kern w:val="0"/>
          <w:sz w:val="32"/>
          <w:szCs w:val="32"/>
        </w:rPr>
        <w:t>（八）硕士学位论文（仅已获得硕士学位人员提供）。</w:t>
      </w:r>
    </w:p>
    <w:p>
      <w:pPr>
        <w:widowControl/>
        <w:spacing w:line="560" w:lineRule="exact"/>
        <w:ind w:firstLine="614" w:firstLineChars="200"/>
        <w:rPr>
          <w:rFonts w:ascii="黑体" w:hAnsi="华文中宋" w:eastAsia="黑体" w:cs="黑体"/>
          <w:color w:val="auto"/>
          <w:sz w:val="32"/>
          <w:szCs w:val="32"/>
        </w:rPr>
      </w:pPr>
      <w:r>
        <w:rPr>
          <w:rFonts w:hint="eastAsia" w:ascii="仿宋_GB2312" w:hAnsi="仿宋" w:eastAsia="仿宋_GB2312" w:cs="仿宋_GB2312"/>
          <w:color w:val="auto"/>
          <w:spacing w:val="4"/>
          <w:kern w:val="0"/>
          <w:sz w:val="32"/>
          <w:szCs w:val="32"/>
        </w:rPr>
        <w:t>（九）学术论文、获奖证书、授权发明专利及其它学术成果证明材料。</w:t>
      </w:r>
    </w:p>
    <w:p>
      <w:pPr>
        <w:snapToGrid w:val="0"/>
        <w:spacing w:before="290" w:beforeLines="5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第五章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资格审查与考核</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第十一条</w:t>
      </w:r>
      <w:r>
        <w:rPr>
          <w:rFonts w:hint="eastAsia" w:ascii="仿宋_GB2312" w:eastAsia="仿宋_GB2312" w:cs="仿宋_GB2312"/>
          <w:b/>
          <w:bCs/>
          <w:color w:val="auto"/>
          <w:sz w:val="32"/>
          <w:szCs w:val="32"/>
        </w:rPr>
        <w:t xml:space="preserve"> </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kern w:val="0"/>
          <w:sz w:val="32"/>
          <w:szCs w:val="32"/>
        </w:rPr>
        <w:t>申请人须参加报考当年组织的</w:t>
      </w:r>
      <w:r>
        <w:rPr>
          <w:rFonts w:hint="eastAsia" w:ascii="仿宋_GB2312" w:hAnsi="宋体" w:eastAsia="仿宋_GB2312" w:cs="仿宋_GB2312"/>
          <w:color w:val="auto"/>
          <w:spacing w:val="4"/>
          <w:kern w:val="0"/>
          <w:sz w:val="32"/>
          <w:szCs w:val="32"/>
        </w:rPr>
        <w:t>思想政治素质和品德考核、</w:t>
      </w:r>
      <w:r>
        <w:rPr>
          <w:rFonts w:hint="eastAsia" w:ascii="仿宋_GB2312" w:hAnsi="宋体" w:eastAsia="仿宋_GB2312" w:cs="仿宋_GB2312"/>
          <w:color w:val="auto"/>
          <w:kern w:val="0"/>
          <w:sz w:val="32"/>
          <w:szCs w:val="32"/>
        </w:rPr>
        <w:t>资格审查、材料审核、专业基础笔试、创新能力面试、</w:t>
      </w:r>
      <w:r>
        <w:rPr>
          <w:rFonts w:hint="eastAsia" w:ascii="仿宋_GB2312" w:hAnsi="宋体" w:eastAsia="仿宋_GB2312" w:cs="仿宋_GB2312"/>
          <w:color w:val="auto"/>
          <w:spacing w:val="4"/>
          <w:kern w:val="0"/>
          <w:sz w:val="32"/>
          <w:szCs w:val="32"/>
        </w:rPr>
        <w:t>身心素质考查等。</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第十二条</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资格审查由招生学院组织，旨在查验申请人报考资格及相关证明材料的真实性、准确性。</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第十三条</w:t>
      </w:r>
      <w:r>
        <w:rPr>
          <w:rFonts w:ascii="仿宋_GB2312" w:hAnsi="宋体" w:eastAsia="仿宋_GB2312" w:cs="仿宋_GB2312"/>
          <w:color w:val="auto"/>
          <w:spacing w:val="4"/>
          <w:kern w:val="0"/>
          <w:sz w:val="32"/>
          <w:szCs w:val="32"/>
        </w:rPr>
        <w:t xml:space="preserve">  </w:t>
      </w:r>
      <w:r>
        <w:rPr>
          <w:rFonts w:hint="eastAsia" w:ascii="仿宋_GB2312" w:hAnsi="宋体" w:eastAsia="仿宋_GB2312" w:cs="仿宋_GB2312"/>
          <w:color w:val="auto"/>
          <w:spacing w:val="4"/>
          <w:kern w:val="0"/>
          <w:sz w:val="32"/>
          <w:szCs w:val="32"/>
        </w:rPr>
        <w:t>通过资格审查的申请人方可进入招生学院组织的材料审核。材料审核旨在考查申请人学习背景、专业知识、科研能力水平等。</w:t>
      </w:r>
    </w:p>
    <w:p>
      <w:pPr>
        <w:widowControl/>
        <w:spacing w:line="560" w:lineRule="exact"/>
        <w:ind w:firstLine="614" w:firstLineChars="200"/>
        <w:rPr>
          <w:rFonts w:ascii="仿宋_GB2312" w:hAnsi="仿宋" w:eastAsia="仿宋_GB2312"/>
          <w:color w:val="auto"/>
          <w:spacing w:val="4"/>
          <w:kern w:val="0"/>
          <w:sz w:val="32"/>
          <w:szCs w:val="32"/>
        </w:rPr>
      </w:pPr>
      <w:r>
        <w:rPr>
          <w:rFonts w:hint="eastAsia" w:ascii="仿宋_GB2312" w:hAnsi="仿宋" w:eastAsia="仿宋_GB2312" w:cs="仿宋_GB2312"/>
          <w:color w:val="auto"/>
          <w:spacing w:val="4"/>
          <w:kern w:val="0"/>
          <w:sz w:val="32"/>
          <w:szCs w:val="32"/>
        </w:rPr>
        <w:t>（一）材料审核专家组由申请人报考学科或相近学科具备高级职称人员组成，人数不得少于</w:t>
      </w:r>
      <w:r>
        <w:rPr>
          <w:rFonts w:ascii="仿宋_GB2312" w:hAnsi="仿宋" w:eastAsia="仿宋_GB2312" w:cs="仿宋_GB2312"/>
          <w:color w:val="auto"/>
          <w:spacing w:val="4"/>
          <w:kern w:val="0"/>
          <w:sz w:val="32"/>
          <w:szCs w:val="32"/>
        </w:rPr>
        <w:t>7</w:t>
      </w:r>
      <w:r>
        <w:rPr>
          <w:rFonts w:hint="eastAsia" w:ascii="仿宋_GB2312" w:hAnsi="仿宋" w:eastAsia="仿宋_GB2312" w:cs="仿宋_GB2312"/>
          <w:color w:val="auto"/>
          <w:spacing w:val="4"/>
          <w:kern w:val="0"/>
          <w:sz w:val="32"/>
          <w:szCs w:val="32"/>
        </w:rPr>
        <w:t>人。</w:t>
      </w:r>
    </w:p>
    <w:p>
      <w:pPr>
        <w:widowControl/>
        <w:spacing w:line="560" w:lineRule="exact"/>
        <w:ind w:firstLine="614" w:firstLineChars="200"/>
        <w:rPr>
          <w:rFonts w:ascii="仿宋_GB2312" w:hAnsi="仿宋" w:eastAsia="仿宋_GB2312" w:cs="仿宋_GB2312"/>
          <w:color w:val="auto"/>
          <w:spacing w:val="4"/>
          <w:kern w:val="0"/>
          <w:sz w:val="32"/>
          <w:szCs w:val="32"/>
        </w:rPr>
      </w:pPr>
      <w:r>
        <w:rPr>
          <w:rFonts w:hint="eastAsia" w:ascii="仿宋_GB2312" w:hAnsi="仿宋" w:eastAsia="仿宋_GB2312" w:cs="仿宋_GB2312"/>
          <w:color w:val="auto"/>
          <w:spacing w:val="4"/>
          <w:kern w:val="0"/>
          <w:sz w:val="32"/>
          <w:szCs w:val="32"/>
        </w:rPr>
        <w:t>（二）专家组根据材料审核情况现场实名独立打分。该环节总分</w:t>
      </w:r>
      <w:r>
        <w:rPr>
          <w:rFonts w:ascii="仿宋_GB2312" w:hAnsi="仿宋" w:eastAsia="仿宋_GB2312" w:cs="仿宋_GB2312"/>
          <w:color w:val="auto"/>
          <w:spacing w:val="4"/>
          <w:kern w:val="0"/>
          <w:sz w:val="32"/>
          <w:szCs w:val="32"/>
        </w:rPr>
        <w:t>100</w:t>
      </w:r>
      <w:r>
        <w:rPr>
          <w:rFonts w:hint="eastAsia" w:ascii="仿宋_GB2312" w:hAnsi="仿宋" w:eastAsia="仿宋_GB2312" w:cs="仿宋_GB2312"/>
          <w:color w:val="auto"/>
          <w:spacing w:val="4"/>
          <w:kern w:val="0"/>
          <w:sz w:val="32"/>
          <w:szCs w:val="32"/>
        </w:rPr>
        <w:t>分，占最终录取成绩的</w:t>
      </w:r>
      <w:r>
        <w:rPr>
          <w:rFonts w:ascii="仿宋_GB2312" w:hAnsi="仿宋" w:eastAsia="仿宋_GB2312" w:cs="仿宋_GB2312"/>
          <w:color w:val="auto"/>
          <w:spacing w:val="4"/>
          <w:kern w:val="0"/>
          <w:sz w:val="32"/>
          <w:szCs w:val="32"/>
        </w:rPr>
        <w:t>25%</w:t>
      </w:r>
      <w:r>
        <w:rPr>
          <w:rFonts w:hint="eastAsia" w:ascii="仿宋_GB2312" w:hAnsi="仿宋" w:eastAsia="仿宋_GB2312" w:cs="仿宋_GB2312"/>
          <w:color w:val="auto"/>
          <w:spacing w:val="4"/>
          <w:kern w:val="0"/>
          <w:sz w:val="32"/>
          <w:szCs w:val="32"/>
        </w:rPr>
        <w:t>，成绩低于</w:t>
      </w:r>
      <w:r>
        <w:rPr>
          <w:rFonts w:ascii="仿宋_GB2312" w:hAnsi="仿宋" w:eastAsia="仿宋_GB2312" w:cs="仿宋_GB2312"/>
          <w:color w:val="auto"/>
          <w:spacing w:val="4"/>
          <w:kern w:val="0"/>
          <w:sz w:val="32"/>
          <w:szCs w:val="32"/>
        </w:rPr>
        <w:t>60</w:t>
      </w:r>
      <w:r>
        <w:rPr>
          <w:rFonts w:hint="eastAsia" w:ascii="仿宋_GB2312" w:hAnsi="仿宋" w:eastAsia="仿宋_GB2312" w:cs="仿宋_GB2312"/>
          <w:color w:val="auto"/>
          <w:spacing w:val="4"/>
          <w:kern w:val="0"/>
          <w:sz w:val="32"/>
          <w:szCs w:val="32"/>
        </w:rPr>
        <w:t>分者不得进入专业基础笔试。</w:t>
      </w:r>
    </w:p>
    <w:p>
      <w:pPr>
        <w:widowControl/>
        <w:spacing w:line="560" w:lineRule="exact"/>
        <w:ind w:firstLine="614" w:firstLineChars="200"/>
        <w:rPr>
          <w:rFonts w:ascii="仿宋_GB2312" w:hAnsi="仿宋" w:eastAsia="仿宋_GB2312" w:cs="仿宋_GB2312"/>
          <w:color w:val="auto"/>
          <w:spacing w:val="4"/>
          <w:kern w:val="0"/>
          <w:sz w:val="32"/>
          <w:szCs w:val="32"/>
        </w:rPr>
      </w:pPr>
      <w:r>
        <w:rPr>
          <w:rFonts w:hint="eastAsia" w:ascii="仿宋_GB2312" w:hAnsi="仿宋" w:eastAsia="仿宋_GB2312" w:cs="仿宋_GB2312"/>
          <w:color w:val="auto"/>
          <w:spacing w:val="4"/>
          <w:kern w:val="0"/>
          <w:sz w:val="32"/>
          <w:szCs w:val="32"/>
        </w:rPr>
        <w:t>（三）生源充足的情况下，招生学院一般应按照不低于 “申请</w:t>
      </w:r>
      <w:r>
        <w:rPr>
          <w:rFonts w:ascii="仿宋_GB2312" w:hAnsi="仿宋" w:eastAsia="仿宋_GB2312" w:cs="仿宋_GB2312"/>
          <w:color w:val="auto"/>
          <w:spacing w:val="4"/>
          <w:kern w:val="0"/>
          <w:sz w:val="32"/>
          <w:szCs w:val="32"/>
        </w:rPr>
        <w:t>-</w:t>
      </w:r>
      <w:r>
        <w:rPr>
          <w:rFonts w:hint="eastAsia" w:ascii="仿宋_GB2312" w:hAnsi="仿宋" w:eastAsia="仿宋_GB2312" w:cs="仿宋_GB2312"/>
          <w:color w:val="auto"/>
          <w:spacing w:val="4"/>
          <w:kern w:val="0"/>
          <w:sz w:val="32"/>
          <w:szCs w:val="32"/>
        </w:rPr>
        <w:t>考核”制招生计划</w:t>
      </w:r>
      <w:r>
        <w:rPr>
          <w:rFonts w:ascii="仿宋_GB2312" w:hAnsi="仿宋" w:eastAsia="仿宋_GB2312" w:cs="仿宋_GB2312"/>
          <w:color w:val="auto"/>
          <w:spacing w:val="4"/>
          <w:kern w:val="0"/>
          <w:sz w:val="32"/>
          <w:szCs w:val="32"/>
        </w:rPr>
        <w:t>200%</w:t>
      </w:r>
      <w:r>
        <w:rPr>
          <w:rFonts w:hint="eastAsia" w:ascii="仿宋_GB2312" w:hAnsi="仿宋" w:eastAsia="仿宋_GB2312" w:cs="仿宋_GB2312"/>
          <w:color w:val="auto"/>
          <w:spacing w:val="4"/>
          <w:kern w:val="0"/>
          <w:sz w:val="32"/>
          <w:szCs w:val="32"/>
        </w:rPr>
        <w:t>的比例确定参加专业基础笔试人员名单。</w:t>
      </w:r>
    </w:p>
    <w:p>
      <w:pPr>
        <w:spacing w:line="560" w:lineRule="exact"/>
        <w:ind w:firstLine="598" w:firstLineChars="200"/>
        <w:rPr>
          <w:rFonts w:ascii="仿宋_GB2312" w:hAnsi="宋体" w:eastAsia="仿宋_GB2312" w:cs="仿宋_GB2312"/>
          <w:color w:val="auto"/>
          <w:spacing w:val="4"/>
          <w:kern w:val="0"/>
          <w:sz w:val="32"/>
          <w:szCs w:val="32"/>
        </w:rPr>
      </w:pPr>
      <w:r>
        <w:rPr>
          <w:rFonts w:hint="eastAsia" w:ascii="黑体" w:hAnsi="黑体" w:eastAsia="黑体" w:cs="仿宋_GB2312"/>
          <w:bCs/>
          <w:color w:val="auto"/>
          <w:sz w:val="32"/>
          <w:szCs w:val="32"/>
        </w:rPr>
        <w:t>第十四条</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专业基础笔试由学校统一组织，旨在考查申请人知识结构、专业素养和研究能力。考核内容由招生学院在《实施细则》中明确。该环节总分1</w:t>
      </w:r>
      <w:r>
        <w:rPr>
          <w:rFonts w:ascii="仿宋_GB2312" w:hAnsi="宋体" w:eastAsia="仿宋_GB2312" w:cs="仿宋_GB2312"/>
          <w:color w:val="auto"/>
          <w:spacing w:val="4"/>
          <w:kern w:val="0"/>
          <w:sz w:val="32"/>
          <w:szCs w:val="32"/>
        </w:rPr>
        <w:t>00</w:t>
      </w:r>
      <w:r>
        <w:rPr>
          <w:rFonts w:hint="eastAsia" w:ascii="仿宋_GB2312" w:hAnsi="宋体" w:eastAsia="仿宋_GB2312" w:cs="仿宋_GB2312"/>
          <w:color w:val="auto"/>
          <w:spacing w:val="4"/>
          <w:kern w:val="0"/>
          <w:sz w:val="32"/>
          <w:szCs w:val="32"/>
        </w:rPr>
        <w:t>分，成绩仅设“合格”“不合格”。招生学院一般按照“申请-考核”制招生计划的1</w:t>
      </w:r>
      <w:r>
        <w:rPr>
          <w:rFonts w:ascii="仿宋_GB2312" w:hAnsi="宋体" w:eastAsia="仿宋_GB2312" w:cs="仿宋_GB2312"/>
          <w:color w:val="auto"/>
          <w:spacing w:val="4"/>
          <w:kern w:val="0"/>
          <w:sz w:val="32"/>
          <w:szCs w:val="32"/>
        </w:rPr>
        <w:t>50%-200%</w:t>
      </w:r>
      <w:r>
        <w:rPr>
          <w:rFonts w:hint="eastAsia" w:ascii="仿宋_GB2312" w:hAnsi="宋体" w:eastAsia="仿宋_GB2312" w:cs="仿宋_GB2312"/>
          <w:color w:val="auto"/>
          <w:spacing w:val="4"/>
          <w:kern w:val="0"/>
          <w:sz w:val="32"/>
          <w:szCs w:val="32"/>
        </w:rPr>
        <w:t>确定“合格”人员名单，“不合格”人员不得进入创新能力面试。</w:t>
      </w:r>
    </w:p>
    <w:p>
      <w:pPr>
        <w:widowControl/>
        <w:spacing w:line="560" w:lineRule="exact"/>
        <w:ind w:firstLine="598" w:firstLineChars="200"/>
        <w:rPr>
          <w:rFonts w:ascii="仿宋_GB2312" w:hAnsi="宋体" w:eastAsia="仿宋_GB2312" w:cs="仿宋_GB2312"/>
          <w:color w:val="auto"/>
          <w:spacing w:val="4"/>
          <w:kern w:val="0"/>
          <w:sz w:val="32"/>
          <w:szCs w:val="32"/>
        </w:rPr>
      </w:pPr>
      <w:r>
        <w:rPr>
          <w:rFonts w:hint="eastAsia" w:ascii="黑体" w:hAnsi="黑体" w:eastAsia="黑体" w:cs="仿宋_GB2312"/>
          <w:bCs/>
          <w:color w:val="auto"/>
          <w:sz w:val="32"/>
          <w:szCs w:val="32"/>
        </w:rPr>
        <w:t>第十五条</w:t>
      </w:r>
      <w:r>
        <w:rPr>
          <w:rFonts w:hint="eastAsia" w:ascii="仿宋_GB2312" w:hAnsi="宋体" w:eastAsia="仿宋_GB2312" w:cs="仿宋_GB2312"/>
          <w:b/>
          <w:color w:val="auto"/>
          <w:spacing w:val="4"/>
          <w:kern w:val="0"/>
          <w:sz w:val="32"/>
          <w:szCs w:val="32"/>
        </w:rPr>
        <w:t xml:space="preserve"> </w:t>
      </w:r>
      <w:r>
        <w:rPr>
          <w:rFonts w:ascii="仿宋_GB2312" w:hAnsi="宋体" w:eastAsia="仿宋_GB2312" w:cs="仿宋_GB2312"/>
          <w:b/>
          <w:color w:val="auto"/>
          <w:spacing w:val="4"/>
          <w:kern w:val="0"/>
          <w:sz w:val="32"/>
          <w:szCs w:val="32"/>
        </w:rPr>
        <w:t xml:space="preserve"> </w:t>
      </w:r>
      <w:r>
        <w:rPr>
          <w:rFonts w:hint="eastAsia" w:ascii="仿宋_GB2312" w:hAnsi="宋体" w:eastAsia="仿宋_GB2312" w:cs="仿宋_GB2312"/>
          <w:color w:val="auto"/>
          <w:kern w:val="0"/>
          <w:sz w:val="32"/>
          <w:szCs w:val="32"/>
        </w:rPr>
        <w:t>创新能力面试</w:t>
      </w:r>
      <w:r>
        <w:rPr>
          <w:rFonts w:hint="eastAsia" w:ascii="仿宋_GB2312" w:hAnsi="宋体" w:eastAsia="仿宋_GB2312" w:cs="仿宋_GB2312"/>
          <w:color w:val="auto"/>
          <w:spacing w:val="4"/>
          <w:kern w:val="0"/>
          <w:sz w:val="32"/>
          <w:szCs w:val="32"/>
        </w:rPr>
        <w:t>由招生学院组织，旨在考查申请人的科学素养、创新能力和培养潜质等。</w:t>
      </w:r>
    </w:p>
    <w:p>
      <w:pPr>
        <w:widowControl/>
        <w:spacing w:line="560" w:lineRule="exact"/>
        <w:ind w:firstLine="614" w:firstLineChars="200"/>
        <w:rPr>
          <w:rFonts w:ascii="仿宋_GB2312" w:hAnsi="仿宋" w:eastAsia="仿宋_GB2312"/>
          <w:color w:val="auto"/>
          <w:spacing w:val="4"/>
          <w:kern w:val="0"/>
          <w:sz w:val="32"/>
          <w:szCs w:val="32"/>
        </w:rPr>
      </w:pPr>
      <w:r>
        <w:rPr>
          <w:rFonts w:hint="eastAsia" w:ascii="仿宋_GB2312" w:hAnsi="仿宋" w:eastAsia="仿宋_GB2312" w:cs="仿宋_GB2312"/>
          <w:color w:val="auto"/>
          <w:spacing w:val="4"/>
          <w:kern w:val="0"/>
          <w:sz w:val="32"/>
          <w:szCs w:val="32"/>
        </w:rPr>
        <w:t>（一）</w:t>
      </w:r>
      <w:r>
        <w:rPr>
          <w:rFonts w:hint="eastAsia" w:ascii="仿宋_GB2312" w:hAnsi="宋体" w:eastAsia="仿宋_GB2312" w:cs="仿宋_GB2312"/>
          <w:color w:val="auto"/>
          <w:kern w:val="0"/>
          <w:sz w:val="32"/>
          <w:szCs w:val="32"/>
        </w:rPr>
        <w:t>创新能力面试</w:t>
      </w:r>
      <w:r>
        <w:rPr>
          <w:rFonts w:hint="eastAsia" w:ascii="仿宋_GB2312" w:hAnsi="仿宋" w:eastAsia="仿宋_GB2312" w:cs="仿宋_GB2312"/>
          <w:color w:val="auto"/>
          <w:spacing w:val="4"/>
          <w:kern w:val="0"/>
          <w:sz w:val="32"/>
          <w:szCs w:val="32"/>
        </w:rPr>
        <w:t>专家组成员一般应为博士研究生导师，人数不得少于</w:t>
      </w:r>
      <w:r>
        <w:rPr>
          <w:rFonts w:ascii="仿宋_GB2312" w:hAnsi="仿宋" w:eastAsia="仿宋_GB2312" w:cs="仿宋_GB2312"/>
          <w:color w:val="auto"/>
          <w:spacing w:val="4"/>
          <w:kern w:val="0"/>
          <w:sz w:val="32"/>
          <w:szCs w:val="32"/>
        </w:rPr>
        <w:t>7</w:t>
      </w:r>
      <w:r>
        <w:rPr>
          <w:rFonts w:hint="eastAsia" w:ascii="仿宋_GB2312" w:hAnsi="仿宋" w:eastAsia="仿宋_GB2312" w:cs="仿宋_GB2312"/>
          <w:color w:val="auto"/>
          <w:spacing w:val="4"/>
          <w:kern w:val="0"/>
          <w:sz w:val="32"/>
          <w:szCs w:val="32"/>
        </w:rPr>
        <w:t>人。相关评分原则由招生学院在《实施细则》中明确。</w:t>
      </w:r>
    </w:p>
    <w:p>
      <w:pPr>
        <w:widowControl/>
        <w:spacing w:line="560" w:lineRule="exact"/>
        <w:ind w:firstLine="614" w:firstLineChars="200"/>
        <w:rPr>
          <w:rFonts w:ascii="仿宋_GB2312" w:hAnsi="仿宋" w:eastAsia="仿宋_GB2312"/>
          <w:color w:val="auto"/>
          <w:spacing w:val="4"/>
          <w:kern w:val="0"/>
          <w:sz w:val="32"/>
          <w:szCs w:val="32"/>
        </w:rPr>
      </w:pPr>
      <w:r>
        <w:rPr>
          <w:rFonts w:hint="eastAsia" w:ascii="仿宋_GB2312" w:hAnsi="仿宋" w:eastAsia="仿宋_GB2312" w:cs="仿宋_GB2312"/>
          <w:color w:val="auto"/>
          <w:spacing w:val="4"/>
          <w:kern w:val="0"/>
          <w:sz w:val="32"/>
          <w:szCs w:val="32"/>
        </w:rPr>
        <w:t>（二）</w:t>
      </w:r>
      <w:r>
        <w:rPr>
          <w:rFonts w:hint="eastAsia" w:ascii="仿宋_GB2312" w:hAnsi="宋体" w:eastAsia="仿宋_GB2312" w:cs="仿宋_GB2312"/>
          <w:color w:val="auto"/>
          <w:kern w:val="0"/>
          <w:sz w:val="32"/>
          <w:szCs w:val="32"/>
        </w:rPr>
        <w:t>创新能力面试</w:t>
      </w:r>
      <w:r>
        <w:rPr>
          <w:rFonts w:hint="eastAsia" w:ascii="仿宋_GB2312" w:hAnsi="仿宋" w:eastAsia="仿宋_GB2312" w:cs="仿宋_GB2312"/>
          <w:color w:val="auto"/>
          <w:spacing w:val="4"/>
          <w:kern w:val="0"/>
          <w:sz w:val="32"/>
          <w:szCs w:val="32"/>
        </w:rPr>
        <w:t>分为汇报、答辩两部分。申请人先结合课件汇报，汇报主要包括代表性成果和拟攻读博士学位研究计划，其中代表性成果可以为学术论文、学科竞赛作品、专利、专著、获得的科技奖励等（申请人若非第一完成人，则需汇报本人在其中所做工作）。汇报时间不少于</w:t>
      </w:r>
      <w:r>
        <w:rPr>
          <w:rFonts w:ascii="仿宋_GB2312" w:hAnsi="仿宋" w:eastAsia="仿宋_GB2312" w:cs="仿宋_GB2312"/>
          <w:color w:val="auto"/>
          <w:spacing w:val="4"/>
          <w:kern w:val="0"/>
          <w:sz w:val="32"/>
          <w:szCs w:val="32"/>
        </w:rPr>
        <w:t>10</w:t>
      </w:r>
      <w:r>
        <w:rPr>
          <w:rFonts w:hint="eastAsia" w:ascii="仿宋_GB2312" w:hAnsi="仿宋" w:eastAsia="仿宋_GB2312" w:cs="仿宋_GB2312"/>
          <w:color w:val="auto"/>
          <w:spacing w:val="4"/>
          <w:kern w:val="0"/>
          <w:sz w:val="32"/>
          <w:szCs w:val="32"/>
        </w:rPr>
        <w:t>分钟，</w:t>
      </w:r>
      <w:r>
        <w:rPr>
          <w:rFonts w:hint="eastAsia" w:ascii="仿宋_GB2312" w:hAnsi="宋体" w:eastAsia="仿宋_GB2312" w:cs="仿宋_GB2312"/>
          <w:color w:val="auto"/>
          <w:kern w:val="0"/>
          <w:sz w:val="32"/>
          <w:szCs w:val="32"/>
        </w:rPr>
        <w:t>面试</w:t>
      </w:r>
      <w:r>
        <w:rPr>
          <w:rFonts w:hint="eastAsia" w:ascii="仿宋_GB2312" w:hAnsi="仿宋" w:eastAsia="仿宋_GB2312" w:cs="仿宋_GB2312"/>
          <w:color w:val="auto"/>
          <w:spacing w:val="4"/>
          <w:kern w:val="0"/>
          <w:sz w:val="32"/>
          <w:szCs w:val="32"/>
        </w:rPr>
        <w:t>总时间不少于</w:t>
      </w:r>
      <w:r>
        <w:rPr>
          <w:rFonts w:ascii="仿宋_GB2312" w:hAnsi="仿宋" w:eastAsia="仿宋_GB2312" w:cs="仿宋_GB2312"/>
          <w:color w:val="auto"/>
          <w:spacing w:val="4"/>
          <w:kern w:val="0"/>
          <w:sz w:val="32"/>
          <w:szCs w:val="32"/>
        </w:rPr>
        <w:t>30</w:t>
      </w:r>
      <w:r>
        <w:rPr>
          <w:rFonts w:hint="eastAsia" w:ascii="仿宋_GB2312" w:hAnsi="仿宋" w:eastAsia="仿宋_GB2312" w:cs="仿宋_GB2312"/>
          <w:color w:val="auto"/>
          <w:spacing w:val="4"/>
          <w:kern w:val="0"/>
          <w:sz w:val="32"/>
          <w:szCs w:val="32"/>
        </w:rPr>
        <w:t>分钟。</w:t>
      </w:r>
    </w:p>
    <w:p>
      <w:pPr>
        <w:widowControl/>
        <w:spacing w:line="560" w:lineRule="exact"/>
        <w:ind w:firstLine="614" w:firstLineChars="200"/>
        <w:rPr>
          <w:rFonts w:ascii="仿宋_GB2312" w:hAnsi="仿宋" w:eastAsia="仿宋_GB2312" w:cs="仿宋_GB2312"/>
          <w:color w:val="auto"/>
          <w:spacing w:val="4"/>
          <w:kern w:val="0"/>
          <w:sz w:val="32"/>
          <w:szCs w:val="32"/>
        </w:rPr>
      </w:pPr>
      <w:r>
        <w:rPr>
          <w:rFonts w:hint="eastAsia" w:ascii="仿宋_GB2312" w:hAnsi="仿宋" w:eastAsia="仿宋_GB2312" w:cs="仿宋_GB2312"/>
          <w:color w:val="auto"/>
          <w:spacing w:val="4"/>
          <w:kern w:val="0"/>
          <w:sz w:val="32"/>
          <w:szCs w:val="32"/>
        </w:rPr>
        <w:t>（三）专家组根据</w:t>
      </w:r>
      <w:r>
        <w:rPr>
          <w:rFonts w:hint="eastAsia" w:ascii="仿宋_GB2312" w:hAnsi="宋体" w:eastAsia="仿宋_GB2312" w:cs="仿宋_GB2312"/>
          <w:color w:val="auto"/>
          <w:kern w:val="0"/>
          <w:sz w:val="32"/>
          <w:szCs w:val="32"/>
        </w:rPr>
        <w:t>创新能力面试考核</w:t>
      </w:r>
      <w:r>
        <w:rPr>
          <w:rFonts w:hint="eastAsia" w:ascii="仿宋_GB2312" w:hAnsi="仿宋" w:eastAsia="仿宋_GB2312" w:cs="仿宋_GB2312"/>
          <w:color w:val="auto"/>
          <w:spacing w:val="4"/>
          <w:kern w:val="0"/>
          <w:sz w:val="32"/>
          <w:szCs w:val="32"/>
        </w:rPr>
        <w:t>情况现场实名独立打分。该环节总分</w:t>
      </w:r>
      <w:r>
        <w:rPr>
          <w:rFonts w:ascii="仿宋_GB2312" w:hAnsi="仿宋" w:eastAsia="仿宋_GB2312" w:cs="仿宋_GB2312"/>
          <w:color w:val="auto"/>
          <w:spacing w:val="4"/>
          <w:kern w:val="0"/>
          <w:sz w:val="32"/>
          <w:szCs w:val="32"/>
        </w:rPr>
        <w:t>100</w:t>
      </w:r>
      <w:r>
        <w:rPr>
          <w:rFonts w:hint="eastAsia" w:ascii="仿宋_GB2312" w:hAnsi="仿宋" w:eastAsia="仿宋_GB2312" w:cs="仿宋_GB2312"/>
          <w:color w:val="auto"/>
          <w:spacing w:val="4"/>
          <w:kern w:val="0"/>
          <w:sz w:val="32"/>
          <w:szCs w:val="32"/>
        </w:rPr>
        <w:t>分，占最终录取成绩的</w:t>
      </w:r>
      <w:r>
        <w:rPr>
          <w:rFonts w:ascii="仿宋_GB2312" w:hAnsi="仿宋" w:eastAsia="仿宋_GB2312" w:cs="仿宋_GB2312"/>
          <w:color w:val="auto"/>
          <w:spacing w:val="4"/>
          <w:kern w:val="0"/>
          <w:sz w:val="32"/>
          <w:szCs w:val="32"/>
        </w:rPr>
        <w:t>75%</w:t>
      </w:r>
      <w:r>
        <w:rPr>
          <w:rFonts w:hint="eastAsia" w:ascii="仿宋_GB2312" w:hAnsi="仿宋" w:eastAsia="仿宋_GB2312" w:cs="仿宋_GB2312"/>
          <w:color w:val="auto"/>
          <w:spacing w:val="4"/>
          <w:kern w:val="0"/>
          <w:sz w:val="32"/>
          <w:szCs w:val="32"/>
        </w:rPr>
        <w:t>，成绩低于</w:t>
      </w:r>
      <w:r>
        <w:rPr>
          <w:rFonts w:ascii="仿宋_GB2312" w:hAnsi="仿宋" w:eastAsia="仿宋_GB2312" w:cs="仿宋_GB2312"/>
          <w:color w:val="auto"/>
          <w:spacing w:val="4"/>
          <w:kern w:val="0"/>
          <w:sz w:val="32"/>
          <w:szCs w:val="32"/>
        </w:rPr>
        <w:t>60</w:t>
      </w:r>
      <w:r>
        <w:rPr>
          <w:rFonts w:hint="eastAsia" w:ascii="仿宋_GB2312" w:hAnsi="仿宋" w:eastAsia="仿宋_GB2312" w:cs="仿宋_GB2312"/>
          <w:color w:val="auto"/>
          <w:spacing w:val="4"/>
          <w:kern w:val="0"/>
          <w:sz w:val="32"/>
          <w:szCs w:val="32"/>
        </w:rPr>
        <w:t>分者不得录取。</w:t>
      </w:r>
    </w:p>
    <w:p>
      <w:pPr>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第十六条</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招生学院可根据学科情况，在第十</w:t>
      </w:r>
      <w:r>
        <w:rPr>
          <w:rFonts w:hint="eastAsia" w:ascii="仿宋_GB2312" w:hAnsi="宋体" w:cs="仿宋_GB2312"/>
          <w:color w:val="auto"/>
          <w:spacing w:val="4"/>
          <w:kern w:val="0"/>
          <w:sz w:val="32"/>
          <w:szCs w:val="32"/>
        </w:rPr>
        <w:t>一</w:t>
      </w:r>
      <w:r>
        <w:rPr>
          <w:rFonts w:hint="eastAsia" w:ascii="仿宋_GB2312" w:hAnsi="宋体" w:eastAsia="仿宋_GB2312" w:cs="仿宋_GB2312"/>
          <w:color w:val="auto"/>
          <w:spacing w:val="4"/>
          <w:kern w:val="0"/>
          <w:sz w:val="32"/>
          <w:szCs w:val="32"/>
        </w:rPr>
        <w:t>条至第十</w:t>
      </w:r>
      <w:r>
        <w:rPr>
          <w:rFonts w:hint="eastAsia" w:ascii="仿宋_GB2312" w:hAnsi="宋体" w:cs="仿宋_GB2312"/>
          <w:color w:val="auto"/>
          <w:spacing w:val="4"/>
          <w:kern w:val="0"/>
          <w:sz w:val="32"/>
          <w:szCs w:val="32"/>
        </w:rPr>
        <w:t>五</w:t>
      </w:r>
      <w:r>
        <w:rPr>
          <w:rFonts w:hint="eastAsia" w:ascii="仿宋_GB2312" w:hAnsi="宋体" w:eastAsia="仿宋_GB2312" w:cs="仿宋_GB2312"/>
          <w:color w:val="auto"/>
          <w:spacing w:val="4"/>
          <w:kern w:val="0"/>
          <w:sz w:val="32"/>
          <w:szCs w:val="32"/>
        </w:rPr>
        <w:t>条基础上，进一步明确考核标准或增设其他考核项目。</w:t>
      </w:r>
    </w:p>
    <w:p>
      <w:pPr>
        <w:snapToGrid w:val="0"/>
        <w:spacing w:before="290" w:beforeLines="5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第六章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录</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取</w:t>
      </w:r>
    </w:p>
    <w:p>
      <w:pPr>
        <w:spacing w:line="560" w:lineRule="exact"/>
        <w:ind w:firstLine="598" w:firstLineChars="200"/>
        <w:rPr>
          <w:rFonts w:ascii="仿宋_GB2312" w:hAnsi="宋体" w:eastAsia="仿宋_GB2312" w:cs="仿宋_GB2312"/>
          <w:color w:val="auto"/>
          <w:spacing w:val="4"/>
          <w:kern w:val="0"/>
          <w:sz w:val="32"/>
          <w:szCs w:val="32"/>
        </w:rPr>
      </w:pPr>
      <w:r>
        <w:rPr>
          <w:rFonts w:hint="eastAsia" w:ascii="黑体" w:hAnsi="黑体" w:eastAsia="黑体" w:cs="仿宋_GB2312"/>
          <w:bCs/>
          <w:color w:val="auto"/>
          <w:sz w:val="32"/>
          <w:szCs w:val="32"/>
        </w:rPr>
        <w:t>第十七条</w:t>
      </w:r>
      <w:r>
        <w:rPr>
          <w:rFonts w:hint="eastAsia" w:ascii="仿宋_GB2312" w:eastAsia="仿宋_GB2312" w:cs="仿宋_GB2312"/>
          <w:b/>
          <w:bCs/>
          <w:color w:val="auto"/>
          <w:sz w:val="32"/>
          <w:szCs w:val="32"/>
        </w:rPr>
        <w:t xml:space="preserve"> </w:t>
      </w:r>
      <w:r>
        <w:rPr>
          <w:rFonts w:ascii="仿宋_GB2312" w:eastAsia="仿宋_GB2312" w:cs="仿宋_GB2312"/>
          <w:b/>
          <w:bCs/>
          <w:color w:val="auto"/>
          <w:sz w:val="32"/>
          <w:szCs w:val="32"/>
        </w:rPr>
        <w:t xml:space="preserve"> </w:t>
      </w:r>
      <w:r>
        <w:rPr>
          <w:rFonts w:hint="eastAsia" w:ascii="仿宋_GB2312" w:eastAsia="仿宋_GB2312" w:cs="仿宋_GB2312"/>
          <w:bCs/>
          <w:color w:val="auto"/>
          <w:sz w:val="32"/>
          <w:szCs w:val="32"/>
        </w:rPr>
        <w:t>最终录取成绩=材料审核成绩×</w:t>
      </w:r>
      <w:r>
        <w:rPr>
          <w:rFonts w:ascii="仿宋_GB2312" w:eastAsia="仿宋_GB2312" w:cs="仿宋_GB2312"/>
          <w:bCs/>
          <w:color w:val="auto"/>
          <w:sz w:val="32"/>
          <w:szCs w:val="32"/>
        </w:rPr>
        <w:t>25%</w:t>
      </w:r>
      <w:r>
        <w:rPr>
          <w:rFonts w:hint="eastAsia" w:ascii="仿宋_GB2312" w:eastAsia="仿宋_GB2312" w:cs="仿宋_GB2312"/>
          <w:bCs/>
          <w:color w:val="auto"/>
          <w:sz w:val="32"/>
          <w:szCs w:val="32"/>
        </w:rPr>
        <w:t>+创新能力面试成绩×</w:t>
      </w:r>
      <w:r>
        <w:rPr>
          <w:rFonts w:ascii="仿宋_GB2312" w:eastAsia="仿宋_GB2312" w:cs="仿宋_GB2312"/>
          <w:bCs/>
          <w:color w:val="auto"/>
          <w:sz w:val="32"/>
          <w:szCs w:val="32"/>
        </w:rPr>
        <w:t>75%</w:t>
      </w:r>
      <w:r>
        <w:rPr>
          <w:rFonts w:hint="eastAsia" w:ascii="仿宋_GB2312" w:eastAsia="仿宋_GB2312" w:cs="仿宋_GB2312"/>
          <w:bCs/>
          <w:color w:val="auto"/>
          <w:sz w:val="32"/>
          <w:szCs w:val="32"/>
        </w:rPr>
        <w:t>。</w:t>
      </w:r>
      <w:r>
        <w:rPr>
          <w:rFonts w:hint="eastAsia" w:ascii="仿宋_GB2312" w:hAnsi="宋体" w:eastAsia="仿宋_GB2312" w:cs="仿宋_GB2312"/>
          <w:color w:val="auto"/>
          <w:spacing w:val="4"/>
          <w:kern w:val="0"/>
          <w:sz w:val="32"/>
          <w:szCs w:val="32"/>
        </w:rPr>
        <w:t>招生学院根据申请人最终录取成绩，结合导师意见和招生计划，经招生学院党委常委会研究后，提出拟录取名单。</w:t>
      </w:r>
    </w:p>
    <w:p>
      <w:pPr>
        <w:widowControl/>
        <w:spacing w:line="560" w:lineRule="exact"/>
        <w:ind w:firstLine="614" w:firstLineChars="200"/>
        <w:rPr>
          <w:rFonts w:ascii="仿宋_GB2312" w:eastAsia="仿宋_GB2312"/>
          <w:color w:val="auto"/>
          <w:kern w:val="0"/>
          <w:sz w:val="24"/>
        </w:rPr>
      </w:pPr>
      <w:r>
        <w:rPr>
          <w:rFonts w:hint="eastAsia" w:ascii="仿宋_GB2312" w:hAnsi="宋体" w:eastAsia="仿宋_GB2312" w:cs="仿宋_GB2312"/>
          <w:color w:val="auto"/>
          <w:spacing w:val="4"/>
          <w:kern w:val="0"/>
          <w:sz w:val="32"/>
          <w:szCs w:val="32"/>
        </w:rPr>
        <w:t>考核选拔过程中，思想政治素质和品德考核或身心素质考查不合格者不予录取；入学前，出现有违社会公德良俗行为并造成不良社会影响者，取消录取资格。</w:t>
      </w:r>
    </w:p>
    <w:p>
      <w:pPr>
        <w:widowControl/>
        <w:spacing w:line="560" w:lineRule="exact"/>
        <w:ind w:firstLine="598" w:firstLineChars="200"/>
        <w:rPr>
          <w:rFonts w:ascii="仿宋_GB2312" w:eastAsia="仿宋_GB2312"/>
          <w:color w:val="auto"/>
          <w:kern w:val="0"/>
          <w:sz w:val="24"/>
        </w:rPr>
      </w:pPr>
      <w:r>
        <w:rPr>
          <w:rFonts w:hint="eastAsia" w:ascii="黑体" w:hAnsi="黑体" w:eastAsia="黑体" w:cs="仿宋_GB2312"/>
          <w:bCs/>
          <w:color w:val="auto"/>
          <w:sz w:val="32"/>
          <w:szCs w:val="32"/>
        </w:rPr>
        <w:t>第十八条</w:t>
      </w:r>
      <w:r>
        <w:rPr>
          <w:rFonts w:hint="eastAsia" w:ascii="仿宋_GB2312" w:eastAsia="仿宋_GB2312" w:cs="仿宋_GB2312"/>
          <w:b/>
          <w:bCs/>
          <w:color w:val="auto"/>
          <w:sz w:val="32"/>
          <w:szCs w:val="32"/>
        </w:rPr>
        <w:t xml:space="preserve"> </w:t>
      </w:r>
      <w:r>
        <w:rPr>
          <w:rFonts w:ascii="仿宋_GB2312" w:hAnsi="宋体" w:eastAsia="仿宋_GB2312" w:cs="仿宋_GB2312"/>
          <w:color w:val="auto"/>
          <w:spacing w:val="4"/>
          <w:kern w:val="0"/>
          <w:sz w:val="32"/>
          <w:szCs w:val="32"/>
        </w:rPr>
        <w:t xml:space="preserve"> </w:t>
      </w:r>
      <w:r>
        <w:rPr>
          <w:rFonts w:hint="eastAsia" w:ascii="仿宋_GB2312" w:hAnsi="宋体" w:eastAsia="仿宋_GB2312" w:cs="仿宋_GB2312"/>
          <w:color w:val="auto"/>
          <w:spacing w:val="4"/>
          <w:kern w:val="0"/>
          <w:sz w:val="32"/>
          <w:szCs w:val="32"/>
        </w:rPr>
        <w:t>研究生院汇总、审核招生学院上报的拟录取名单，报校首长批准后公布。</w:t>
      </w:r>
    </w:p>
    <w:p>
      <w:pPr>
        <w:snapToGrid w:val="0"/>
        <w:spacing w:before="290" w:beforeLines="5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第七章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监督机制</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第十九条</w:t>
      </w:r>
      <w:r>
        <w:rPr>
          <w:rFonts w:hint="eastAsia" w:ascii="仿宋_GB2312" w:eastAsia="仿宋_GB2312" w:cs="仿宋_GB2312"/>
          <w:b/>
          <w:bCs/>
          <w:color w:val="auto"/>
          <w:sz w:val="32"/>
          <w:szCs w:val="32"/>
        </w:rPr>
        <w:t xml:space="preserve"> </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招生学院应提前对考核选拔各阶段工作流程和要求进行公告，及时公示各阶段考核结果，全程接受纪检监督。</w:t>
      </w:r>
    </w:p>
    <w:p>
      <w:pPr>
        <w:widowControl/>
        <w:spacing w:line="560" w:lineRule="exact"/>
        <w:ind w:firstLine="598" w:firstLineChars="200"/>
        <w:rPr>
          <w:rFonts w:ascii="仿宋_GB2312" w:hAnsi="宋体" w:eastAsia="仿宋_GB2312"/>
          <w:color w:val="auto"/>
          <w:spacing w:val="4"/>
          <w:kern w:val="0"/>
          <w:sz w:val="32"/>
          <w:szCs w:val="32"/>
        </w:rPr>
      </w:pPr>
      <w:r>
        <w:rPr>
          <w:rFonts w:hint="eastAsia" w:ascii="黑体" w:hAnsi="黑体" w:eastAsia="黑体" w:cs="仿宋_GB2312"/>
          <w:bCs/>
          <w:color w:val="auto"/>
          <w:sz w:val="32"/>
          <w:szCs w:val="32"/>
        </w:rPr>
        <w:t>第二十条</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各阶段材料由招生学院存档，材料审核、创新能力面试环节成绩均需报研究生院备案。</w:t>
      </w:r>
    </w:p>
    <w:p>
      <w:pPr>
        <w:widowControl/>
        <w:spacing w:line="560" w:lineRule="exact"/>
        <w:ind w:firstLine="598" w:firstLineChars="200"/>
        <w:rPr>
          <w:rFonts w:ascii="仿宋_GB2312" w:hAnsi="宋体" w:eastAsia="仿宋_GB2312" w:cs="仿宋_GB2312"/>
          <w:color w:val="auto"/>
          <w:spacing w:val="4"/>
          <w:kern w:val="0"/>
          <w:sz w:val="32"/>
          <w:szCs w:val="32"/>
        </w:rPr>
      </w:pPr>
      <w:r>
        <w:rPr>
          <w:rFonts w:hint="eastAsia" w:ascii="黑体" w:hAnsi="黑体" w:eastAsia="黑体" w:cs="仿宋_GB2312"/>
          <w:bCs/>
          <w:color w:val="auto"/>
          <w:sz w:val="32"/>
          <w:szCs w:val="32"/>
        </w:rPr>
        <w:t>第二十一条</w:t>
      </w:r>
      <w:r>
        <w:rPr>
          <w:rFonts w:hint="eastAsia" w:ascii="仿宋_GB2312" w:eastAsia="仿宋_GB2312" w:cs="仿宋_GB2312"/>
          <w:b/>
          <w:bCs/>
          <w:color w:val="auto"/>
          <w:sz w:val="32"/>
          <w:szCs w:val="32"/>
        </w:rPr>
        <w:t xml:space="preserve"> </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研究生院对考核选拔过程进行监察督导，对于出现徇私舞弊、滥用职权的导师和工作人员，一经查实将按</w:t>
      </w:r>
      <w:r>
        <w:rPr>
          <w:rFonts w:hint="eastAsia" w:ascii="仿宋_GB2312" w:hAnsi="宋体" w:cs="仿宋_GB2312"/>
          <w:color w:val="auto"/>
          <w:spacing w:val="4"/>
          <w:kern w:val="0"/>
          <w:sz w:val="32"/>
          <w:szCs w:val="32"/>
        </w:rPr>
        <w:t>照</w:t>
      </w:r>
      <w:r>
        <w:rPr>
          <w:rFonts w:hint="eastAsia" w:ascii="仿宋_GB2312" w:hAnsi="宋体" w:eastAsia="仿宋_GB2312" w:cs="仿宋_GB2312"/>
          <w:color w:val="auto"/>
          <w:spacing w:val="4"/>
          <w:kern w:val="0"/>
          <w:sz w:val="32"/>
          <w:szCs w:val="32"/>
        </w:rPr>
        <w:t>国家、军队和学校有关规定严肃处理，情节严重的取消相关导师三年研究生招生资格，并削减相关学科招生计划。</w:t>
      </w:r>
    </w:p>
    <w:p>
      <w:pPr>
        <w:spacing w:line="560" w:lineRule="exact"/>
        <w:ind w:firstLine="614" w:firstLineChars="200"/>
        <w:rPr>
          <w:rFonts w:ascii="仿宋_GB2312" w:eastAsia="仿宋_GB2312"/>
          <w:color w:val="auto"/>
          <w:kern w:val="0"/>
          <w:sz w:val="24"/>
        </w:rPr>
      </w:pPr>
      <w:r>
        <w:rPr>
          <w:rFonts w:hint="eastAsia" w:ascii="仿宋_GB2312" w:hAnsi="宋体" w:eastAsia="仿宋_GB2312" w:cs="仿宋_GB2312"/>
          <w:color w:val="auto"/>
          <w:spacing w:val="4"/>
          <w:kern w:val="0"/>
          <w:sz w:val="32"/>
          <w:szCs w:val="32"/>
        </w:rPr>
        <w:t>在考核选拔过程中出现弄虚作假、违规违纪的申请人，一经查实将永久取消其报考国防科技大学博士研究生资格，已被录取者将取消入学资格、注销学籍或撤销学历（学位）。</w:t>
      </w:r>
    </w:p>
    <w:p>
      <w:pPr>
        <w:snapToGrid w:val="0"/>
        <w:spacing w:before="290" w:beforeLines="50" w:after="290" w:afterLines="50" w:line="560" w:lineRule="exact"/>
        <w:jc w:val="center"/>
        <w:rPr>
          <w:rFonts w:ascii="黑体" w:hAnsi="华文中宋" w:eastAsia="黑体"/>
          <w:color w:val="auto"/>
          <w:sz w:val="32"/>
          <w:szCs w:val="32"/>
        </w:rPr>
      </w:pPr>
      <w:r>
        <w:rPr>
          <w:rFonts w:hint="eastAsia" w:ascii="黑体" w:hAnsi="华文中宋" w:eastAsia="黑体" w:cs="黑体"/>
          <w:color w:val="auto"/>
          <w:sz w:val="32"/>
          <w:szCs w:val="32"/>
        </w:rPr>
        <w:t>第八章</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附</w:t>
      </w:r>
      <w:r>
        <w:rPr>
          <w:rFonts w:ascii="黑体" w:hAnsi="华文中宋" w:eastAsia="黑体" w:cs="黑体"/>
          <w:color w:val="auto"/>
          <w:sz w:val="32"/>
          <w:szCs w:val="32"/>
        </w:rPr>
        <w:t xml:space="preserve">  </w:t>
      </w:r>
      <w:r>
        <w:rPr>
          <w:rFonts w:hint="eastAsia" w:ascii="黑体" w:hAnsi="华文中宋" w:eastAsia="黑体" w:cs="黑体"/>
          <w:color w:val="auto"/>
          <w:sz w:val="32"/>
          <w:szCs w:val="32"/>
        </w:rPr>
        <w:t>则</w:t>
      </w:r>
    </w:p>
    <w:p>
      <w:pPr>
        <w:spacing w:line="560" w:lineRule="exact"/>
        <w:ind w:firstLine="598" w:firstLineChars="200"/>
        <w:rPr>
          <w:color w:val="auto"/>
        </w:rPr>
      </w:pPr>
      <w:r>
        <w:rPr>
          <w:rFonts w:hint="eastAsia" w:ascii="黑体" w:hAnsi="黑体" w:eastAsia="黑体" w:cs="仿宋_GB2312"/>
          <w:bCs/>
          <w:color w:val="auto"/>
          <w:sz w:val="32"/>
          <w:szCs w:val="32"/>
        </w:rPr>
        <w:t>第二十二条</w:t>
      </w:r>
      <w:r>
        <w:rPr>
          <w:rFonts w:hint="eastAsia" w:ascii="仿宋_GB2312" w:eastAsia="仿宋_GB2312" w:cs="仿宋_GB2312"/>
          <w:b/>
          <w:bCs/>
          <w:color w:val="auto"/>
          <w:sz w:val="32"/>
          <w:szCs w:val="32"/>
        </w:rPr>
        <w:t xml:space="preserve"> </w:t>
      </w:r>
      <w:r>
        <w:rPr>
          <w:rFonts w:ascii="仿宋_GB2312" w:eastAsia="仿宋_GB2312" w:cs="仿宋_GB2312"/>
          <w:b/>
          <w:bCs/>
          <w:color w:val="auto"/>
          <w:sz w:val="32"/>
          <w:szCs w:val="32"/>
        </w:rPr>
        <w:t xml:space="preserve"> </w:t>
      </w:r>
      <w:r>
        <w:rPr>
          <w:rFonts w:hint="eastAsia" w:ascii="仿宋_GB2312" w:hAnsi="宋体" w:eastAsia="仿宋_GB2312" w:cs="仿宋_GB2312"/>
          <w:color w:val="auto"/>
          <w:spacing w:val="4"/>
          <w:kern w:val="0"/>
          <w:sz w:val="32"/>
          <w:szCs w:val="32"/>
        </w:rPr>
        <w:t>本办法自</w:t>
      </w:r>
      <w:r>
        <w:rPr>
          <w:rFonts w:hint="eastAsia" w:ascii="仿宋_GB2312" w:hAnsi="宋体" w:cs="仿宋_GB2312"/>
          <w:color w:val="auto"/>
          <w:spacing w:val="4"/>
          <w:kern w:val="0"/>
          <w:sz w:val="32"/>
          <w:szCs w:val="32"/>
        </w:rPr>
        <w:t>下发</w:t>
      </w:r>
      <w:r>
        <w:rPr>
          <w:rFonts w:hint="eastAsia" w:ascii="仿宋_GB2312" w:hAnsi="宋体" w:eastAsia="仿宋_GB2312" w:cs="仿宋_GB2312"/>
          <w:color w:val="auto"/>
          <w:spacing w:val="4"/>
          <w:kern w:val="0"/>
          <w:sz w:val="32"/>
          <w:szCs w:val="32"/>
        </w:rPr>
        <w:t>之日起执行，由研究生院负责解释。《国防科技大学博士研究生“申请-考核”制招生实施办法》（校研〔2021〕471号）自动废止。</w:t>
      </w:r>
    </w:p>
    <w:p>
      <w:pPr>
        <w:widowControl/>
        <w:spacing w:line="600" w:lineRule="exact"/>
        <w:ind w:firstLine="620"/>
        <w:rPr>
          <w:rFonts w:ascii="仿宋" w:hAnsi="仿宋" w:eastAsia="仿宋" w:cs="仿宋"/>
          <w:color w:val="auto"/>
          <w:spacing w:val="4"/>
          <w:kern w:val="0"/>
          <w:sz w:val="32"/>
          <w:szCs w:val="32"/>
        </w:rPr>
      </w:pPr>
    </w:p>
    <w:p>
      <w:pPr>
        <w:spacing w:line="560" w:lineRule="exact"/>
        <w:rPr>
          <w:rFonts w:ascii="黑体" w:hAnsi="黑体" w:eastAsia="黑体"/>
          <w:color w:val="auto"/>
          <w:sz w:val="32"/>
          <w:szCs w:val="32"/>
        </w:rPr>
      </w:pPr>
    </w:p>
    <w:p>
      <w:pPr>
        <w:spacing w:line="560" w:lineRule="exact"/>
        <w:rPr>
          <w:rFonts w:ascii="黑体" w:hAnsi="黑体" w:eastAsia="黑体" w:cs="仿宋"/>
          <w:color w:val="auto"/>
          <w:spacing w:val="4"/>
          <w:sz w:val="32"/>
          <w:szCs w:val="32"/>
          <w:shd w:val="clear" w:color="auto" w:fill="FFFFFF"/>
        </w:rPr>
      </w:pPr>
    </w:p>
    <w:p>
      <w:pPr>
        <w:rPr>
          <w:vanish/>
          <w:color w:val="auto"/>
        </w:rPr>
      </w:pPr>
    </w:p>
    <w:p>
      <w:pPr>
        <w:widowControl/>
        <w:rPr>
          <w:rFonts w:ascii="黑体" w:hAnsi="黑体" w:eastAsia="黑体"/>
          <w:color w:val="auto"/>
          <w:sz w:val="32"/>
          <w:szCs w:val="32"/>
        </w:rPr>
      </w:pPr>
    </w:p>
    <w:p>
      <w:pPr>
        <w:widowControl/>
        <w:rPr>
          <w:rFonts w:ascii="黑体" w:hAnsi="黑体" w:eastAsia="黑体"/>
          <w:color w:val="auto"/>
          <w:sz w:val="32"/>
          <w:szCs w:val="32"/>
        </w:rPr>
        <w:sectPr>
          <w:footerReference r:id="rId5" w:type="first"/>
          <w:footerReference r:id="rId3" w:type="default"/>
          <w:footerReference r:id="rId4" w:type="even"/>
          <w:pgSz w:w="11907" w:h="16840"/>
          <w:pgMar w:top="1474" w:right="1474" w:bottom="1474" w:left="1474" w:header="851" w:footer="1247" w:gutter="0"/>
          <w:cols w:space="720" w:num="1"/>
          <w:titlePg/>
          <w:docGrid w:type="linesAndChars" w:linePitch="580" w:charSpace="-4301"/>
        </w:sectPr>
      </w:pPr>
    </w:p>
    <w:p>
      <w:pPr>
        <w:snapToGrid w:val="0"/>
        <w:spacing w:line="240" w:lineRule="atLeast"/>
        <w:rPr>
          <w:rFonts w:ascii="黑体" w:hAnsi="黑体" w:eastAsia="黑体" w:cs="方正小标宋_GBK"/>
          <w:color w:val="auto"/>
          <w:sz w:val="32"/>
          <w:szCs w:val="32"/>
        </w:rPr>
      </w:pPr>
      <w:r>
        <w:rPr>
          <w:rFonts w:hint="eastAsia" w:ascii="黑体" w:hAnsi="黑体" w:eastAsia="黑体" w:cs="方正小标宋_GBK"/>
          <w:color w:val="auto"/>
          <w:sz w:val="32"/>
          <w:szCs w:val="32"/>
        </w:rPr>
        <w:t>附件</w:t>
      </w:r>
      <w:r>
        <w:rPr>
          <w:rFonts w:ascii="黑体" w:hAnsi="黑体" w:eastAsia="黑体" w:cs="方正小标宋_GBK"/>
          <w:color w:val="auto"/>
          <w:sz w:val="32"/>
          <w:szCs w:val="32"/>
        </w:rPr>
        <w:t>2</w:t>
      </w:r>
      <w:r>
        <w:rPr>
          <w:rFonts w:hint="eastAsia" w:ascii="黑体" w:hAnsi="黑体" w:eastAsia="黑体" w:cs="方正小标宋_GBK"/>
          <w:color w:val="auto"/>
          <w:sz w:val="32"/>
          <w:szCs w:val="32"/>
        </w:rPr>
        <w:t>：</w:t>
      </w:r>
    </w:p>
    <w:p>
      <w:pPr>
        <w:snapToGrid w:val="0"/>
        <w:spacing w:line="240" w:lineRule="atLeast"/>
        <w:jc w:val="center"/>
        <w:rPr>
          <w:rFonts w:ascii="微软雅黑" w:hAnsi="微软雅黑" w:eastAsia="微软雅黑" w:cs="方正小标宋_GBK"/>
          <w:color w:val="auto"/>
          <w:sz w:val="44"/>
          <w:szCs w:val="44"/>
        </w:rPr>
      </w:pPr>
      <w:r>
        <w:rPr>
          <w:rFonts w:hint="eastAsia" w:ascii="微软雅黑" w:hAnsi="微软雅黑" w:eastAsia="微软雅黑" w:cs="方正小标宋_GBK"/>
          <w:color w:val="auto"/>
          <w:sz w:val="44"/>
          <w:szCs w:val="44"/>
        </w:rPr>
        <w:t>系统工程学院博士研究生“申请-考核”</w:t>
      </w:r>
    </w:p>
    <w:p>
      <w:pPr>
        <w:snapToGrid w:val="0"/>
        <w:spacing w:line="240" w:lineRule="atLeast"/>
        <w:jc w:val="center"/>
        <w:rPr>
          <w:rFonts w:ascii="微软雅黑" w:hAnsi="微软雅黑" w:eastAsia="微软雅黑" w:cs="方正小标宋_GBK"/>
          <w:color w:val="auto"/>
          <w:sz w:val="44"/>
          <w:szCs w:val="44"/>
        </w:rPr>
      </w:pPr>
      <w:r>
        <w:rPr>
          <w:rFonts w:hint="eastAsia" w:ascii="微软雅黑" w:hAnsi="微软雅黑" w:eastAsia="微软雅黑" w:cs="方正小标宋_GBK"/>
          <w:color w:val="auto"/>
          <w:sz w:val="44"/>
          <w:szCs w:val="44"/>
        </w:rPr>
        <w:t>入学资格考试大纲</w:t>
      </w:r>
    </w:p>
    <w:p>
      <w:pPr>
        <w:rPr>
          <w:rFonts w:ascii="仿宋_GB2312" w:hAnsi="黑体" w:eastAsia="仿宋_GB2312" w:cs="黑体"/>
          <w:color w:val="auto"/>
          <w:sz w:val="32"/>
          <w:szCs w:val="32"/>
        </w:rPr>
      </w:pPr>
    </w:p>
    <w:p>
      <w:pPr>
        <w:rPr>
          <w:rFonts w:ascii="仿宋_GB2312" w:hAnsi="仿宋" w:eastAsia="仿宋_GB2312" w:cs="仿宋"/>
          <w:color w:val="auto"/>
          <w:sz w:val="32"/>
          <w:szCs w:val="32"/>
        </w:rPr>
      </w:pPr>
      <w:r>
        <w:rPr>
          <w:rFonts w:hint="eastAsia" w:ascii="黑体" w:hAnsi="黑体" w:eastAsia="黑体" w:cs="黑体"/>
          <w:color w:val="auto"/>
          <w:sz w:val="32"/>
          <w:szCs w:val="32"/>
        </w:rPr>
        <w:t>考试科目：</w:t>
      </w:r>
      <w:r>
        <w:rPr>
          <w:rFonts w:hint="eastAsia" w:ascii="仿宋_GB2312" w:hAnsi="仿宋" w:eastAsia="仿宋_GB2312" w:cs="仿宋"/>
          <w:color w:val="auto"/>
          <w:sz w:val="32"/>
          <w:szCs w:val="32"/>
        </w:rPr>
        <w:t>学科专业英语综合能力</w:t>
      </w:r>
    </w:p>
    <w:p>
      <w:pPr>
        <w:rPr>
          <w:rFonts w:ascii="仿宋_GB2312" w:hAnsi="仿宋" w:eastAsia="仿宋_GB2312" w:cs="仿宋"/>
          <w:color w:val="auto"/>
          <w:sz w:val="32"/>
          <w:szCs w:val="32"/>
        </w:rPr>
      </w:pPr>
      <w:r>
        <w:rPr>
          <w:rFonts w:hint="eastAsia" w:ascii="黑体" w:hAnsi="黑体" w:eastAsia="黑体" w:cs="黑体"/>
          <w:color w:val="auto"/>
          <w:sz w:val="32"/>
          <w:szCs w:val="32"/>
        </w:rPr>
        <w:t>考试形式：</w:t>
      </w:r>
      <w:r>
        <w:rPr>
          <w:rFonts w:hint="eastAsia" w:ascii="仿宋_GB2312" w:hAnsi="仿宋" w:eastAsia="仿宋_GB2312" w:cs="仿宋"/>
          <w:color w:val="auto"/>
          <w:sz w:val="32"/>
          <w:szCs w:val="32"/>
        </w:rPr>
        <w:t>闭卷，150分钟，独立完成。</w:t>
      </w:r>
    </w:p>
    <w:p>
      <w:pPr>
        <w:rPr>
          <w:rFonts w:ascii="仿宋_GB2312" w:hAnsi="仿宋" w:eastAsia="仿宋_GB2312" w:cs="仿宋"/>
          <w:color w:val="auto"/>
          <w:sz w:val="32"/>
          <w:szCs w:val="32"/>
        </w:rPr>
      </w:pPr>
      <w:r>
        <w:rPr>
          <w:rFonts w:hint="eastAsia" w:ascii="黑体" w:hAnsi="黑体" w:eastAsia="黑体" w:cs="黑体"/>
          <w:color w:val="auto"/>
          <w:sz w:val="32"/>
          <w:szCs w:val="32"/>
        </w:rPr>
        <w:t>考试范围：</w:t>
      </w:r>
      <w:r>
        <w:rPr>
          <w:rFonts w:hint="eastAsia" w:ascii="仿宋_GB2312" w:hAnsi="仿宋" w:eastAsia="仿宋_GB2312" w:cs="仿宋"/>
          <w:color w:val="auto"/>
          <w:sz w:val="32"/>
          <w:szCs w:val="32"/>
        </w:rPr>
        <w:t>具体清单见附件</w:t>
      </w:r>
      <w:r>
        <w:rPr>
          <w:rFonts w:ascii="仿宋_GB2312" w:hAnsi="仿宋" w:eastAsia="仿宋_GB2312" w:cs="仿宋"/>
          <w:color w:val="auto"/>
          <w:sz w:val="32"/>
          <w:szCs w:val="32"/>
        </w:rPr>
        <w:t>3</w:t>
      </w:r>
      <w:r>
        <w:rPr>
          <w:rFonts w:hint="eastAsia" w:ascii="仿宋_GB2312" w:hAnsi="仿宋" w:eastAsia="仿宋_GB2312" w:cs="仿宋"/>
          <w:color w:val="auto"/>
          <w:sz w:val="32"/>
          <w:szCs w:val="32"/>
        </w:rPr>
        <w:t>。</w:t>
      </w:r>
    </w:p>
    <w:p>
      <w:pPr>
        <w:rPr>
          <w:rFonts w:ascii="仿宋_GB2312" w:hAnsi="仿宋" w:eastAsia="仿宋_GB2312" w:cs="仿宋"/>
          <w:color w:val="auto"/>
          <w:sz w:val="32"/>
          <w:szCs w:val="32"/>
        </w:rPr>
      </w:pPr>
      <w:r>
        <w:rPr>
          <w:rFonts w:hint="eastAsia" w:ascii="黑体" w:hAnsi="黑体" w:eastAsia="黑体" w:cs="黑体"/>
          <w:color w:val="auto"/>
          <w:sz w:val="32"/>
          <w:szCs w:val="32"/>
        </w:rPr>
        <w:t>考试方式：</w:t>
      </w:r>
      <w:r>
        <w:rPr>
          <w:rFonts w:hint="eastAsia" w:ascii="仿宋_GB2312" w:hAnsi="仿宋" w:eastAsia="仿宋_GB2312" w:cs="仿宋"/>
          <w:color w:val="auto"/>
          <w:sz w:val="32"/>
          <w:szCs w:val="32"/>
        </w:rPr>
        <w:t>学院从清单目录中选取5篇文章，考生从其中任选1篇阅读，并根据命题要求中文作答。</w:t>
      </w:r>
    </w:p>
    <w:p>
      <w:pPr>
        <w:rPr>
          <w:rFonts w:ascii="仿宋_GB2312" w:hAnsi="仿宋" w:eastAsia="仿宋_GB2312" w:cs="仿宋"/>
          <w:color w:val="auto"/>
          <w:sz w:val="32"/>
          <w:szCs w:val="32"/>
        </w:rPr>
      </w:pPr>
      <w:r>
        <w:rPr>
          <w:rFonts w:hint="eastAsia" w:ascii="黑体" w:hAnsi="黑体" w:eastAsia="黑体" w:cs="黑体"/>
          <w:color w:val="auto"/>
          <w:sz w:val="32"/>
          <w:szCs w:val="32"/>
        </w:rPr>
        <w:t>考试题型：</w:t>
      </w:r>
      <w:r>
        <w:rPr>
          <w:rFonts w:hint="eastAsia" w:ascii="仿宋_GB2312" w:hAnsi="仿宋" w:eastAsia="仿宋_GB2312" w:cs="仿宋"/>
          <w:color w:val="auto"/>
          <w:sz w:val="32"/>
          <w:szCs w:val="32"/>
        </w:rPr>
        <w:t>主观问答题。</w:t>
      </w:r>
    </w:p>
    <w:p>
      <w:pPr>
        <w:rPr>
          <w:rFonts w:ascii="仿宋_GB2312" w:hAnsi="仿宋" w:eastAsia="仿宋_GB2312" w:cs="仿宋"/>
          <w:color w:val="auto"/>
          <w:sz w:val="32"/>
          <w:szCs w:val="32"/>
        </w:rPr>
      </w:pPr>
      <w:r>
        <w:rPr>
          <w:rFonts w:hint="eastAsia" w:ascii="仿宋_GB2312" w:hAnsi="仿宋" w:eastAsia="仿宋_GB2312" w:cs="仿宋"/>
          <w:color w:val="auto"/>
          <w:sz w:val="32"/>
          <w:szCs w:val="32"/>
        </w:rPr>
        <w:t>满分100分。</w:t>
      </w:r>
    </w:p>
    <w:p>
      <w:pPr>
        <w:rPr>
          <w:rFonts w:ascii="仿宋_GB2312" w:hAnsi="仿宋" w:eastAsia="仿宋_GB2312" w:cs="仿宋"/>
          <w:color w:val="auto"/>
          <w:sz w:val="32"/>
          <w:szCs w:val="32"/>
        </w:rPr>
      </w:pPr>
      <w:r>
        <w:rPr>
          <w:rFonts w:hint="eastAsia" w:ascii="黑体" w:hAnsi="黑体" w:eastAsia="黑体" w:cs="黑体"/>
          <w:color w:val="auto"/>
          <w:sz w:val="32"/>
          <w:szCs w:val="32"/>
        </w:rPr>
        <w:t>说    明：</w:t>
      </w:r>
      <w:r>
        <w:rPr>
          <w:rFonts w:hint="eastAsia" w:ascii="仿宋_GB2312" w:hAnsi="仿宋" w:eastAsia="仿宋_GB2312" w:cs="仿宋"/>
          <w:color w:val="auto"/>
          <w:sz w:val="32"/>
          <w:szCs w:val="32"/>
        </w:rPr>
        <w:t>考试时不得使用任何电子设备，可以携带1本纸质字典。</w:t>
      </w:r>
    </w:p>
    <w:p>
      <w:pPr>
        <w:rPr>
          <w:rFonts w:ascii="仿宋_GB2312" w:hAnsi="方正小标宋_GBK" w:eastAsia="仿宋_GB2312" w:cs="方正小标宋_GBK"/>
          <w:color w:val="auto"/>
          <w:sz w:val="44"/>
          <w:szCs w:val="44"/>
        </w:rPr>
        <w:sectPr>
          <w:footerReference r:id="rId6" w:type="default"/>
          <w:pgSz w:w="11906" w:h="16838"/>
          <w:pgMar w:top="1440" w:right="1800" w:bottom="1440" w:left="1800" w:header="851" w:footer="992" w:gutter="0"/>
          <w:cols w:space="720" w:num="1"/>
          <w:docGrid w:type="lines" w:linePitch="312" w:charSpace="0"/>
        </w:sectPr>
      </w:pPr>
    </w:p>
    <w:p>
      <w:pPr>
        <w:rPr>
          <w:rFonts w:ascii="黑体" w:hAnsi="黑体" w:eastAsia="黑体" w:cs="黑体"/>
          <w:color w:val="auto"/>
          <w:sz w:val="32"/>
          <w:szCs w:val="32"/>
        </w:rPr>
      </w:pPr>
      <w:r>
        <w:rPr>
          <w:rFonts w:hint="eastAsia" w:ascii="黑体" w:hAnsi="黑体" w:eastAsia="黑体" w:cs="黑体"/>
          <w:color w:val="auto"/>
          <w:sz w:val="32"/>
          <w:szCs w:val="32"/>
        </w:rPr>
        <w:t>附件</w:t>
      </w:r>
      <w:r>
        <w:rPr>
          <w:rFonts w:ascii="黑体" w:hAnsi="黑体" w:eastAsia="黑体" w:cs="黑体"/>
          <w:color w:val="auto"/>
          <w:sz w:val="32"/>
          <w:szCs w:val="32"/>
        </w:rPr>
        <w:t>3</w:t>
      </w:r>
      <w:r>
        <w:rPr>
          <w:rFonts w:hint="eastAsia" w:ascii="黑体" w:hAnsi="黑体" w:eastAsia="黑体" w:cs="黑体"/>
          <w:color w:val="auto"/>
          <w:sz w:val="32"/>
          <w:szCs w:val="32"/>
        </w:rPr>
        <w:t>：</w:t>
      </w:r>
    </w:p>
    <w:p>
      <w:pPr>
        <w:snapToGrid w:val="0"/>
        <w:spacing w:line="240" w:lineRule="atLeast"/>
        <w:jc w:val="center"/>
        <w:rPr>
          <w:rFonts w:ascii="微软雅黑" w:hAnsi="微软雅黑" w:eastAsia="微软雅黑" w:cs="方正小标宋_GBK"/>
          <w:color w:val="auto"/>
          <w:sz w:val="44"/>
          <w:szCs w:val="44"/>
        </w:rPr>
      </w:pPr>
      <w:r>
        <w:rPr>
          <w:rFonts w:hint="eastAsia" w:ascii="微软雅黑" w:hAnsi="微软雅黑" w:eastAsia="微软雅黑" w:cs="方正小标宋_GBK"/>
          <w:color w:val="auto"/>
          <w:sz w:val="44"/>
          <w:szCs w:val="44"/>
        </w:rPr>
        <w:t>系统工程学院博士研究生“申请-考核”</w:t>
      </w:r>
    </w:p>
    <w:p>
      <w:pPr>
        <w:snapToGrid w:val="0"/>
        <w:spacing w:line="240" w:lineRule="atLeast"/>
        <w:jc w:val="center"/>
        <w:rPr>
          <w:rFonts w:ascii="微软雅黑" w:hAnsi="微软雅黑" w:eastAsia="微软雅黑"/>
          <w:color w:val="auto"/>
          <w:sz w:val="44"/>
          <w:szCs w:val="44"/>
        </w:rPr>
      </w:pPr>
      <w:r>
        <w:rPr>
          <w:rFonts w:hint="eastAsia" w:ascii="微软雅黑" w:hAnsi="微软雅黑" w:eastAsia="微软雅黑" w:cs="方正小标宋_GBK"/>
          <w:color w:val="auto"/>
          <w:sz w:val="44"/>
          <w:szCs w:val="44"/>
        </w:rPr>
        <w:t>入学资格考试</w:t>
      </w:r>
      <w:r>
        <w:rPr>
          <w:rFonts w:hint="eastAsia" w:ascii="微软雅黑" w:hAnsi="微软雅黑" w:eastAsia="微软雅黑"/>
          <w:color w:val="auto"/>
          <w:sz w:val="44"/>
          <w:szCs w:val="44"/>
        </w:rPr>
        <w:t>参考论文清单</w:t>
      </w:r>
    </w:p>
    <w:tbl>
      <w:tblPr>
        <w:tblStyle w:val="5"/>
        <w:tblW w:w="0" w:type="auto"/>
        <w:tblInd w:w="0" w:type="dxa"/>
        <w:tblLayout w:type="fixed"/>
        <w:tblCellMar>
          <w:top w:w="0" w:type="dxa"/>
          <w:left w:w="108" w:type="dxa"/>
          <w:bottom w:w="0" w:type="dxa"/>
          <w:right w:w="108" w:type="dxa"/>
        </w:tblCellMar>
      </w:tblPr>
      <w:tblGrid>
        <w:gridCol w:w="707"/>
        <w:gridCol w:w="8473"/>
      </w:tblGrid>
      <w:tr>
        <w:tblPrEx>
          <w:tblCellMar>
            <w:top w:w="0" w:type="dxa"/>
            <w:left w:w="108" w:type="dxa"/>
            <w:bottom w:w="0" w:type="dxa"/>
            <w:right w:w="108" w:type="dxa"/>
          </w:tblCellMar>
        </w:tblPrEx>
        <w:trPr>
          <w:tblHeader/>
        </w:trPr>
        <w:tc>
          <w:tcPr>
            <w:tcW w:w="70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黑体" w:hAnsi="黑体" w:eastAsia="黑体" w:cs="宋体"/>
                <w:color w:val="auto"/>
                <w:kern w:val="0"/>
                <w:sz w:val="24"/>
              </w:rPr>
            </w:pPr>
            <w:r>
              <w:rPr>
                <w:rFonts w:hint="eastAsia" w:ascii="黑体" w:hAnsi="黑体" w:eastAsia="黑体" w:cs="宋体"/>
                <w:color w:val="auto"/>
                <w:kern w:val="0"/>
                <w:sz w:val="24"/>
              </w:rPr>
              <w:t>序号</w:t>
            </w:r>
          </w:p>
        </w:tc>
        <w:tc>
          <w:tcPr>
            <w:tcW w:w="8473"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黑体" w:hAnsi="黑体" w:eastAsia="黑体" w:cs="宋体"/>
                <w:color w:val="auto"/>
                <w:kern w:val="0"/>
                <w:sz w:val="24"/>
              </w:rPr>
            </w:pPr>
            <w:r>
              <w:rPr>
                <w:rFonts w:hint="eastAsia" w:ascii="黑体" w:hAnsi="黑体" w:eastAsia="黑体" w:cs="宋体"/>
                <w:color w:val="auto"/>
                <w:kern w:val="0"/>
                <w:sz w:val="24"/>
              </w:rPr>
              <w:t>论文题目</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Preference-inspired co-evolutionary algorithm using weight vectors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Differential Evolution with Multi-Population Based Ensemble of Mutation Strategies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Efficient Video Stitching Based on Fast Structure Deformation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Mapping the ecological networks of microbial communities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Median Robust Extended Local Binary Pattern for Texture Classification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Coloured Petri net-based traffic collision avoidance system encounter model for the analysis of potential induced collisions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Prefix-Adaptive and Time-Sensitive Personalized Query Auto Completion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VLCcube: A VLC enabled hybrid network structure for data centers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 model framework-based domain-specific composable modeling method for combat system effectiveness simulation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Bayes estimation of P(Y &lt; X) for the Weibull distribution with arbitrary parameters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Multi-objective optimal design of hybrid renewable energy systems using preference- inspired coevolutionary approach</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Consensus building in group decision making based on multiplicative consistency with incomplete reciprocal preference relations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Unveiling Hidden Migration and Mobility Patterns in Climate Stressed Regions: A Longitudinal Study of Six Million Anonymous Mobile Phone Users in Bangladesh</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Optimal operation of a smart residential microgrid based on model predictive control by considering uncertainties and storage impacts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Extended object-oriented Petri net model for mission reliability simulation of repairable PMS with common cause failures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The iPICEA-g a new hybrid evolutionary multi-criteria decision making approach using the brushing technique</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Inference on the reliability of Weibull distribution with multiply Type-I censored data</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Operation Network Modeling with Degenerate Causal Strengths for Missile Defense Systems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BRBcast: A New Approach to Belief Rule-Based System Parameter Learning via Extended Causal Strength Logic</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Development trend forecasting for coherent light generator technology based on patent citation network analysis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Dynamic design of sales territories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Reconfiguration of satellite orbit for cooperative observation using variable-size multi-objective differential evolution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Two phased hybrid local search for periodic capacitated arc routing problem</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An adaptive large neighborhood search metaheuristic for agile satellite scheduling with time-dependent transition time</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 Robust Motion Detection Algorithm on Noisy Videos.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Analysis of heterogeneous dengue transmission in Guangdong in 2014 with multivariate time series model</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Reliability analysis of large phased-mission systems with repairable components based on success-state sampling</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Multi-objective optimization for a closed-loop network design problem using an improved genetic algorithm</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Towards dynamic real-time scheduling for multiple earth observation satellites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 pure proactive scheduling algorithm for multiple earth observation satellites under uncertainties of clouds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 Variable Reduction Strategy for Evolutionary Algorithms Handling Equality Constraints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Learning-driven many-objective evolutionary algorithms for satellite-ground time synchronization task planning problem</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ANGEL: Agent-Based Scheduling for Real-Time Tasks in Virtualized Clouds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Fault-Tolerant Scheduling for Real-Time Tasks on Multiple Earth-Observation Satellites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Clustering based Link Prediction in Scientific Coauthorship Networks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Towards energy-efficient scheduling for real-time tasks under uncertain cloud computing environment</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Scheduling for Workflows with Security-Sensitive Intermediate Data by Selective Tasks Duplication in Clouds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FESTAL: Fault-Tolerant Elastic Scheduling Algorithm for Real-Time Tasks in Virtualized Clouds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 high performance framework for modeling and simulation of large-scale complex systems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An accurate interest matching algorithm based on prediction of the space-time intersection of regions for the distributed virtual environment</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Atmospheric dispersion prediction and source estimation of hazardous gas using artificial network, particle swarm optimization and expectation maximization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Deep Learning for visual understanding： A review</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 Lookahead Behavior Model for Multi-Agent Hybrid Simulation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 Novel Specific Image Scenes Detection Method</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Load balancing for multi-threaded PDES of stochastic reaction-diffusion in neurons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Multithreaded Stochastic PDES for Reactions and Diffusions in Neurons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Model architecture-oriented combat system effectiveness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Multi-typed Community Discovery in Time-Evolving Heterogeneous Information Networks based on Tensor Decomposition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An Empirical Study of Bayesian Network Parameter Learning with Monotonic Influence Constraints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Personalized Query Suggestion Diversification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Learning from homologous queries and semantically related terms for query auto completion</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Continuous action segmentation and recognition using hybrid convolutional neural network-hidden Markov model mode</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Towards Frequent Subgraph Mining on Single Large Uncertain Graphs</w:t>
            </w:r>
          </w:p>
        </w:tc>
      </w:tr>
      <w:tr>
        <w:tblPrEx>
          <w:tblCellMar>
            <w:top w:w="0" w:type="dxa"/>
            <w:left w:w="108" w:type="dxa"/>
            <w:bottom w:w="0" w:type="dxa"/>
            <w:right w:w="108" w:type="dxa"/>
          </w:tblCellMar>
        </w:tblPrEx>
        <w:tc>
          <w:tcPr>
            <w:tcW w:w="707" w:type="dxa"/>
            <w:tcBorders>
              <w:top w:val="nil"/>
              <w:left w:val="single" w:color="auto" w:sz="4" w:space="0"/>
              <w:bottom w:val="single" w:color="auto" w:sz="4" w:space="0"/>
              <w:right w:val="single" w:color="auto" w:sz="4" w:space="0"/>
            </w:tcBorders>
            <w:vAlign w:val="center"/>
          </w:tcPr>
          <w:p>
            <w:pPr>
              <w:widowControl/>
              <w:numPr>
                <w:ilvl w:val="0"/>
                <w:numId w:val="2"/>
              </w:numPr>
              <w:spacing w:line="300" w:lineRule="exact"/>
              <w:ind w:left="0" w:firstLine="0"/>
              <w:jc w:val="center"/>
              <w:rPr>
                <w:rFonts w:ascii="宋体" w:hAnsi="宋体" w:cs="宋体"/>
                <w:color w:val="auto"/>
                <w:kern w:val="0"/>
                <w:sz w:val="24"/>
              </w:rPr>
            </w:pPr>
          </w:p>
        </w:tc>
        <w:tc>
          <w:tcPr>
            <w:tcW w:w="8473"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color w:val="auto"/>
                <w:kern w:val="0"/>
                <w:sz w:val="24"/>
              </w:rPr>
            </w:pPr>
            <w:r>
              <w:rPr>
                <w:rFonts w:hint="eastAsia" w:ascii="宋体" w:hAnsi="宋体" w:cs="宋体"/>
                <w:color w:val="auto"/>
                <w:kern w:val="0"/>
                <w:sz w:val="24"/>
              </w:rPr>
              <w:t>Efficient Multiset Synchronization</w:t>
            </w:r>
          </w:p>
        </w:tc>
      </w:tr>
    </w:tbl>
    <w:p>
      <w:pPr>
        <w:widowControl/>
        <w:spacing w:line="560" w:lineRule="exact"/>
        <w:rPr>
          <w:rFonts w:ascii="仿宋_GB2312" w:eastAsia="仿宋_GB2312"/>
          <w:color w:val="auto"/>
          <w:sz w:val="32"/>
          <w:szCs w:val="32"/>
        </w:rPr>
      </w:pPr>
    </w:p>
    <w:p>
      <w:pPr>
        <w:rPr>
          <w:rFonts w:ascii="黑体" w:hAnsi="黑体" w:eastAsia="黑体" w:cs="黑体"/>
          <w:color w:val="auto"/>
          <w:sz w:val="32"/>
          <w:szCs w:val="32"/>
        </w:rPr>
      </w:pPr>
      <w:r>
        <w:rPr>
          <w:rFonts w:ascii="仿宋_GB2312" w:eastAsia="仿宋_GB2312"/>
          <w:color w:val="auto"/>
          <w:sz w:val="32"/>
          <w:szCs w:val="32"/>
        </w:rPr>
        <w:br w:type="page"/>
      </w:r>
      <w:r>
        <w:rPr>
          <w:rFonts w:hint="eastAsia" w:ascii="黑体" w:hAnsi="黑体" w:eastAsia="黑体" w:cs="黑体"/>
          <w:color w:val="auto"/>
          <w:sz w:val="32"/>
          <w:szCs w:val="32"/>
        </w:rPr>
        <w:t>附件4：</w:t>
      </w:r>
    </w:p>
    <w:p>
      <w:pPr>
        <w:widowControl/>
        <w:adjustRightInd w:val="0"/>
        <w:snapToGrid w:val="0"/>
        <w:spacing w:line="560" w:lineRule="exact"/>
        <w:jc w:val="center"/>
        <w:rPr>
          <w:rFonts w:ascii="微软雅黑" w:hAnsi="微软雅黑" w:eastAsia="微软雅黑"/>
          <w:color w:val="auto"/>
          <w:kern w:val="0"/>
          <w:sz w:val="44"/>
          <w:szCs w:val="44"/>
        </w:rPr>
      </w:pPr>
      <w:r>
        <w:rPr>
          <w:rFonts w:hint="eastAsia" w:ascii="微软雅黑" w:hAnsi="微软雅黑" w:eastAsia="微软雅黑"/>
          <w:color w:val="auto"/>
          <w:kern w:val="0"/>
          <w:sz w:val="44"/>
          <w:szCs w:val="44"/>
        </w:rPr>
        <w:t>系统工程学院学术学位博士</w:t>
      </w:r>
      <w:r>
        <w:rPr>
          <w:rFonts w:ascii="微软雅黑" w:hAnsi="微软雅黑" w:eastAsia="微软雅黑"/>
          <w:color w:val="auto"/>
          <w:kern w:val="0"/>
          <w:sz w:val="44"/>
          <w:szCs w:val="44"/>
        </w:rPr>
        <w:t>研究生</w:t>
      </w:r>
    </w:p>
    <w:p>
      <w:pPr>
        <w:widowControl/>
        <w:adjustRightInd w:val="0"/>
        <w:snapToGrid w:val="0"/>
        <w:spacing w:line="560" w:lineRule="exact"/>
        <w:jc w:val="center"/>
        <w:rPr>
          <w:rFonts w:ascii="微软雅黑" w:hAnsi="微软雅黑" w:eastAsia="微软雅黑"/>
          <w:color w:val="auto"/>
          <w:kern w:val="0"/>
          <w:sz w:val="44"/>
          <w:szCs w:val="44"/>
        </w:rPr>
      </w:pPr>
      <w:r>
        <w:rPr>
          <w:rFonts w:ascii="微软雅黑" w:hAnsi="微软雅黑" w:eastAsia="微软雅黑"/>
          <w:color w:val="auto"/>
          <w:kern w:val="0"/>
          <w:sz w:val="44"/>
          <w:szCs w:val="44"/>
        </w:rPr>
        <w:t>“</w:t>
      </w:r>
      <w:r>
        <w:rPr>
          <w:rFonts w:hint="eastAsia" w:ascii="微软雅黑" w:hAnsi="微软雅黑" w:eastAsia="微软雅黑"/>
          <w:color w:val="auto"/>
          <w:kern w:val="0"/>
          <w:sz w:val="44"/>
          <w:szCs w:val="44"/>
        </w:rPr>
        <w:t>申请-</w:t>
      </w:r>
      <w:r>
        <w:rPr>
          <w:rFonts w:ascii="微软雅黑" w:hAnsi="微软雅黑" w:eastAsia="微软雅黑"/>
          <w:color w:val="auto"/>
          <w:kern w:val="0"/>
          <w:sz w:val="44"/>
          <w:szCs w:val="44"/>
        </w:rPr>
        <w:t>考核”</w:t>
      </w:r>
      <w:r>
        <w:rPr>
          <w:rFonts w:hint="eastAsia" w:ascii="微软雅黑" w:hAnsi="微软雅黑" w:eastAsia="微软雅黑"/>
          <w:color w:val="auto"/>
          <w:kern w:val="0"/>
          <w:sz w:val="44"/>
          <w:szCs w:val="44"/>
        </w:rPr>
        <w:t>材料</w:t>
      </w:r>
      <w:r>
        <w:rPr>
          <w:rFonts w:ascii="微软雅黑" w:hAnsi="微软雅黑" w:eastAsia="微软雅黑"/>
          <w:color w:val="auto"/>
          <w:kern w:val="0"/>
          <w:sz w:val="44"/>
          <w:szCs w:val="44"/>
        </w:rPr>
        <w:t>审核</w:t>
      </w:r>
      <w:r>
        <w:rPr>
          <w:rFonts w:hint="eastAsia" w:ascii="微软雅黑" w:hAnsi="微软雅黑" w:eastAsia="微软雅黑"/>
          <w:color w:val="auto"/>
          <w:kern w:val="0"/>
          <w:sz w:val="44"/>
          <w:szCs w:val="44"/>
        </w:rPr>
        <w:t>评分</w:t>
      </w:r>
      <w:r>
        <w:rPr>
          <w:rFonts w:ascii="微软雅黑" w:hAnsi="微软雅黑" w:eastAsia="微软雅黑"/>
          <w:color w:val="auto"/>
          <w:kern w:val="0"/>
          <w:sz w:val="44"/>
          <w:szCs w:val="44"/>
        </w:rPr>
        <w:t>规则</w:t>
      </w:r>
    </w:p>
    <w:p>
      <w:pPr>
        <w:spacing w:line="560" w:lineRule="exact"/>
        <w:ind w:firstLine="613" w:firstLineChars="205"/>
        <w:rPr>
          <w:rFonts w:ascii="黑体" w:eastAsia="黑体"/>
          <w:color w:val="auto"/>
          <w:sz w:val="32"/>
          <w:szCs w:val="32"/>
        </w:rPr>
      </w:pPr>
    </w:p>
    <w:p>
      <w:pPr>
        <w:spacing w:line="560" w:lineRule="exact"/>
        <w:ind w:firstLine="613" w:firstLineChars="205"/>
        <w:rPr>
          <w:rFonts w:ascii="仿宋_GB2312" w:eastAsia="仿宋_GB2312"/>
          <w:color w:val="auto"/>
          <w:sz w:val="32"/>
          <w:szCs w:val="32"/>
        </w:rPr>
      </w:pPr>
      <w:r>
        <w:rPr>
          <w:rFonts w:hint="eastAsia" w:ascii="黑体" w:eastAsia="黑体"/>
          <w:color w:val="auto"/>
          <w:sz w:val="32"/>
          <w:szCs w:val="32"/>
        </w:rPr>
        <w:t xml:space="preserve">第一条 </w:t>
      </w:r>
      <w:r>
        <w:rPr>
          <w:rFonts w:hint="eastAsia" w:ascii="仿宋_GB2312" w:eastAsia="仿宋_GB2312"/>
          <w:color w:val="auto"/>
          <w:sz w:val="32"/>
          <w:szCs w:val="32"/>
        </w:rPr>
        <w:t>为科学评价“申请-考核”考生的学术道德、知识结构、专业基础、科学研究素养和</w:t>
      </w:r>
      <w:r>
        <w:rPr>
          <w:rFonts w:hint="eastAsia" w:ascii="仿宋_GB2312" w:hAnsi="宋体" w:eastAsia="仿宋_GB2312" w:cs="仿宋_GB2312"/>
          <w:color w:val="auto"/>
          <w:spacing w:val="4"/>
          <w:kern w:val="0"/>
          <w:sz w:val="32"/>
          <w:szCs w:val="32"/>
        </w:rPr>
        <w:t>培养潜质</w:t>
      </w:r>
      <w:r>
        <w:rPr>
          <w:rFonts w:hint="eastAsia" w:ascii="仿宋_GB2312" w:eastAsia="仿宋_GB2312"/>
          <w:color w:val="auto"/>
          <w:sz w:val="32"/>
          <w:szCs w:val="32"/>
        </w:rPr>
        <w:t>等，依据学校有关要求，结合学院实际，制定本规则。</w:t>
      </w:r>
    </w:p>
    <w:p>
      <w:pPr>
        <w:spacing w:line="560" w:lineRule="exact"/>
        <w:ind w:firstLine="598" w:firstLineChars="200"/>
        <w:rPr>
          <w:rFonts w:ascii="仿宋_GB2312" w:eastAsia="仿宋_GB2312"/>
          <w:color w:val="auto"/>
          <w:sz w:val="32"/>
          <w:szCs w:val="32"/>
        </w:rPr>
      </w:pPr>
      <w:r>
        <w:rPr>
          <w:rFonts w:hint="eastAsia" w:ascii="黑体" w:eastAsia="黑体"/>
          <w:color w:val="auto"/>
          <w:sz w:val="32"/>
          <w:szCs w:val="32"/>
        </w:rPr>
        <w:t xml:space="preserve">第二条 </w:t>
      </w:r>
      <w:r>
        <w:rPr>
          <w:rFonts w:hint="eastAsia" w:ascii="仿宋_GB2312" w:eastAsia="仿宋_GB2312"/>
          <w:color w:val="auto"/>
          <w:sz w:val="32"/>
          <w:szCs w:val="32"/>
        </w:rPr>
        <w:t>对考生学术道德、知识结构、专业基础和科学研究素养的评价采用积分制，总分100分</w:t>
      </w:r>
      <w:r>
        <w:rPr>
          <w:rFonts w:hint="eastAsia" w:ascii="仿宋_GB2312" w:hAnsi="仿宋" w:eastAsia="仿宋_GB2312" w:cs="仿宋_GB2312"/>
          <w:color w:val="auto"/>
          <w:spacing w:val="4"/>
          <w:kern w:val="0"/>
          <w:sz w:val="32"/>
          <w:szCs w:val="32"/>
        </w:rPr>
        <w:t>。</w:t>
      </w:r>
      <w:r>
        <w:rPr>
          <w:rFonts w:hint="eastAsia" w:ascii="仿宋_GB2312" w:eastAsia="仿宋_GB2312"/>
          <w:color w:val="auto"/>
          <w:sz w:val="32"/>
          <w:szCs w:val="32"/>
        </w:rPr>
        <w:t>其中基础理论研究</w:t>
      </w:r>
      <w:r>
        <w:rPr>
          <w:rFonts w:ascii="仿宋_GB2312" w:eastAsia="仿宋_GB2312"/>
          <w:color w:val="auto"/>
          <w:sz w:val="32"/>
          <w:szCs w:val="32"/>
        </w:rPr>
        <w:t>水平4</w:t>
      </w:r>
      <w:r>
        <w:rPr>
          <w:rFonts w:hint="eastAsia" w:ascii="仿宋_GB2312" w:eastAsia="仿宋_GB2312"/>
          <w:color w:val="auto"/>
          <w:sz w:val="32"/>
          <w:szCs w:val="32"/>
        </w:rPr>
        <w:t>0分、应用实践能力40分</w:t>
      </w:r>
      <w:r>
        <w:rPr>
          <w:rFonts w:ascii="仿宋_GB2312" w:eastAsia="仿宋_GB2312"/>
          <w:color w:val="auto"/>
          <w:sz w:val="32"/>
          <w:szCs w:val="32"/>
        </w:rPr>
        <w:t>、</w:t>
      </w:r>
      <w:r>
        <w:rPr>
          <w:rFonts w:hint="eastAsia" w:ascii="仿宋_GB2312" w:eastAsia="仿宋_GB2312"/>
          <w:color w:val="auto"/>
          <w:sz w:val="32"/>
          <w:szCs w:val="32"/>
        </w:rPr>
        <w:t>综合素质20分。</w:t>
      </w:r>
    </w:p>
    <w:p>
      <w:pPr>
        <w:spacing w:line="560" w:lineRule="exact"/>
        <w:ind w:firstLine="598" w:firstLineChars="200"/>
        <w:rPr>
          <w:rFonts w:ascii="仿宋_GB2312" w:eastAsia="仿宋_GB2312"/>
          <w:color w:val="auto"/>
          <w:sz w:val="32"/>
          <w:szCs w:val="32"/>
        </w:rPr>
      </w:pPr>
      <w:r>
        <w:rPr>
          <w:rFonts w:hint="eastAsia" w:ascii="黑体" w:eastAsia="黑体"/>
          <w:color w:val="auto"/>
          <w:sz w:val="32"/>
          <w:szCs w:val="32"/>
        </w:rPr>
        <w:t xml:space="preserve">第三条 </w:t>
      </w:r>
      <w:r>
        <w:rPr>
          <w:rFonts w:hint="eastAsia" w:ascii="仿宋_GB2312" w:eastAsia="仿宋_GB2312"/>
          <w:b/>
          <w:bCs/>
          <w:color w:val="auto"/>
          <w:sz w:val="32"/>
          <w:szCs w:val="32"/>
        </w:rPr>
        <w:t>基础理论研究水平。</w:t>
      </w:r>
      <w:r>
        <w:rPr>
          <w:rFonts w:hint="eastAsia" w:ascii="仿宋_GB2312" w:eastAsia="仿宋_GB2312"/>
          <w:color w:val="auto"/>
          <w:sz w:val="32"/>
          <w:szCs w:val="32"/>
        </w:rPr>
        <w:t>主要评价考生发现问题、科研协作、学术水平、学科声誉贡献等能力，原则上以发表的学术论文、学业</w:t>
      </w:r>
      <w:r>
        <w:rPr>
          <w:rFonts w:ascii="仿宋_GB2312" w:eastAsia="仿宋_GB2312"/>
          <w:color w:val="auto"/>
          <w:sz w:val="32"/>
          <w:szCs w:val="32"/>
        </w:rPr>
        <w:t>水平</w:t>
      </w:r>
      <w:r>
        <w:rPr>
          <w:rFonts w:hint="eastAsia" w:ascii="仿宋_GB2312" w:eastAsia="仿宋_GB2312"/>
          <w:color w:val="auto"/>
          <w:sz w:val="32"/>
          <w:szCs w:val="32"/>
        </w:rPr>
        <w:t>和</w:t>
      </w:r>
      <w:r>
        <w:rPr>
          <w:rFonts w:ascii="仿宋_GB2312" w:eastAsia="仿宋_GB2312"/>
          <w:color w:val="auto"/>
          <w:sz w:val="32"/>
          <w:szCs w:val="32"/>
        </w:rPr>
        <w:t>能力</w:t>
      </w:r>
      <w:r>
        <w:rPr>
          <w:rFonts w:hint="eastAsia" w:ascii="仿宋_GB2312" w:eastAsia="仿宋_GB2312"/>
          <w:color w:val="auto"/>
          <w:sz w:val="32"/>
          <w:szCs w:val="32"/>
        </w:rPr>
        <w:t>作为积分依据。</w:t>
      </w:r>
    </w:p>
    <w:p>
      <w:pPr>
        <w:spacing w:line="560" w:lineRule="exact"/>
        <w:ind w:firstLine="598" w:firstLineChars="200"/>
        <w:rPr>
          <w:rFonts w:ascii="楷体_GB2312" w:eastAsia="楷体_GB2312"/>
          <w:color w:val="auto"/>
          <w:sz w:val="32"/>
          <w:szCs w:val="32"/>
        </w:rPr>
      </w:pPr>
      <w:r>
        <w:rPr>
          <w:rFonts w:hint="eastAsia" w:ascii="楷体_GB2312" w:eastAsia="楷体_GB2312"/>
          <w:color w:val="auto"/>
          <w:sz w:val="32"/>
          <w:szCs w:val="32"/>
        </w:rPr>
        <w:t>（一）论文分档</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考生发表（含网络出版）的学术论文（若同一论文存在不同分档中，以分档水平高者为准）论文分档标准见下表。</w:t>
      </w:r>
    </w:p>
    <w:tbl>
      <w:tblPr>
        <w:tblStyle w:val="5"/>
        <w:tblW w:w="7933" w:type="dxa"/>
        <w:jc w:val="center"/>
        <w:tblLayout w:type="fixed"/>
        <w:tblCellMar>
          <w:top w:w="0" w:type="dxa"/>
          <w:left w:w="0" w:type="dxa"/>
          <w:bottom w:w="0" w:type="dxa"/>
          <w:right w:w="0" w:type="dxa"/>
        </w:tblCellMar>
      </w:tblPr>
      <w:tblGrid>
        <w:gridCol w:w="585"/>
        <w:gridCol w:w="7348"/>
      </w:tblGrid>
      <w:tr>
        <w:tblPrEx>
          <w:tblCellMar>
            <w:top w:w="0" w:type="dxa"/>
            <w:left w:w="0" w:type="dxa"/>
            <w:bottom w:w="0" w:type="dxa"/>
            <w:right w:w="0" w:type="dxa"/>
          </w:tblCellMar>
        </w:tblPrEx>
        <w:trPr>
          <w:jc w:val="center"/>
        </w:trPr>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ascii="仿宋_GB2312" w:hAnsi="宋体" w:eastAsia="仿宋_GB2312" w:cs="仿宋_GB2312"/>
                <w:b/>
                <w:bCs/>
                <w:color w:val="auto"/>
                <w:sz w:val="22"/>
              </w:rPr>
            </w:pPr>
            <w:r>
              <w:rPr>
                <w:rFonts w:ascii="仿宋_GB2312" w:hAnsi="宋体" w:eastAsia="仿宋_GB2312" w:cs="仿宋_GB2312"/>
                <w:b/>
                <w:bCs/>
                <w:color w:val="auto"/>
                <w:kern w:val="0"/>
                <w:sz w:val="22"/>
              </w:rPr>
              <w:t>档次</w:t>
            </w:r>
          </w:p>
        </w:tc>
        <w:tc>
          <w:tcPr>
            <w:tcW w:w="73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ascii="仿宋_GB2312" w:hAnsi="宋体" w:eastAsia="仿宋_GB2312" w:cs="仿宋_GB2312"/>
                <w:b/>
                <w:bCs/>
                <w:color w:val="auto"/>
                <w:sz w:val="22"/>
              </w:rPr>
            </w:pPr>
            <w:r>
              <w:rPr>
                <w:rFonts w:ascii="仿宋_GB2312" w:hAnsi="宋体" w:eastAsia="仿宋_GB2312" w:cs="仿宋_GB2312"/>
                <w:b/>
                <w:bCs/>
                <w:color w:val="auto"/>
                <w:kern w:val="0"/>
                <w:sz w:val="22"/>
              </w:rPr>
              <w:t>类别</w:t>
            </w:r>
          </w:p>
        </w:tc>
      </w:tr>
      <w:tr>
        <w:tblPrEx>
          <w:tblCellMar>
            <w:top w:w="0" w:type="dxa"/>
            <w:left w:w="0" w:type="dxa"/>
            <w:bottom w:w="0" w:type="dxa"/>
            <w:right w:w="0" w:type="dxa"/>
          </w:tblCellMar>
        </w:tblPrEx>
        <w:trPr>
          <w:jc w:val="center"/>
        </w:trPr>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1</w:t>
            </w:r>
          </w:p>
        </w:tc>
        <w:tc>
          <w:tcPr>
            <w:tcW w:w="7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中科院一区（前5%）/CCF A类</w:t>
            </w:r>
            <w:r>
              <w:rPr>
                <w:rFonts w:hint="eastAsia" w:ascii="仿宋_GB2312" w:hAnsi="宋体" w:eastAsia="仿宋_GB2312" w:cs="仿宋_GB2312"/>
                <w:color w:val="auto"/>
                <w:kern w:val="0"/>
                <w:sz w:val="22"/>
              </w:rPr>
              <w:t>国际</w:t>
            </w:r>
            <w:r>
              <w:rPr>
                <w:rFonts w:ascii="仿宋_GB2312" w:hAnsi="宋体" w:eastAsia="仿宋_GB2312" w:cs="仿宋_GB2312"/>
                <w:color w:val="auto"/>
                <w:kern w:val="0"/>
                <w:sz w:val="22"/>
              </w:rPr>
              <w:t>期刊</w:t>
            </w:r>
          </w:p>
        </w:tc>
      </w:tr>
      <w:tr>
        <w:tblPrEx>
          <w:tblCellMar>
            <w:top w:w="0" w:type="dxa"/>
            <w:left w:w="0" w:type="dxa"/>
            <w:bottom w:w="0" w:type="dxa"/>
            <w:right w:w="0" w:type="dxa"/>
          </w:tblCellMar>
        </w:tblPrEx>
        <w:trPr>
          <w:jc w:val="center"/>
        </w:trPr>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2</w:t>
            </w:r>
          </w:p>
        </w:tc>
        <w:tc>
          <w:tcPr>
            <w:tcW w:w="7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中科院二区（5%-20%）或JCR一区（前25%）/CCF B类</w:t>
            </w:r>
            <w:r>
              <w:rPr>
                <w:rFonts w:hint="eastAsia" w:ascii="仿宋_GB2312" w:hAnsi="宋体" w:eastAsia="仿宋_GB2312" w:cs="仿宋_GB2312"/>
                <w:color w:val="auto"/>
                <w:kern w:val="0"/>
                <w:sz w:val="22"/>
              </w:rPr>
              <w:t>国际</w:t>
            </w:r>
            <w:r>
              <w:rPr>
                <w:rFonts w:ascii="仿宋_GB2312" w:hAnsi="宋体" w:eastAsia="仿宋_GB2312" w:cs="仿宋_GB2312"/>
                <w:color w:val="auto"/>
                <w:kern w:val="0"/>
                <w:sz w:val="22"/>
              </w:rPr>
              <w:t>期刊</w:t>
            </w:r>
            <w:r>
              <w:rPr>
                <w:rFonts w:hint="eastAsia" w:ascii="仿宋_GB2312" w:hAnsi="宋体" w:eastAsia="仿宋_GB2312" w:cs="仿宋_GB2312"/>
                <w:color w:val="auto"/>
                <w:kern w:val="0"/>
                <w:sz w:val="22"/>
              </w:rPr>
              <w:t>/学院学科</w:t>
            </w:r>
            <w:r>
              <w:rPr>
                <w:rFonts w:ascii="仿宋_GB2312" w:hAnsi="宋体" w:eastAsia="仿宋_GB2312" w:cs="仿宋_GB2312"/>
                <w:color w:val="auto"/>
                <w:kern w:val="0"/>
                <w:sz w:val="22"/>
              </w:rPr>
              <w:t>期刊目录中的重点期刊</w:t>
            </w:r>
            <w:r>
              <w:rPr>
                <w:rFonts w:hint="eastAsia" w:ascii="仿宋_GB2312" w:hAnsi="宋体" w:eastAsia="仿宋_GB2312" w:cs="仿宋_GB2312"/>
                <w:color w:val="auto"/>
                <w:kern w:val="0"/>
                <w:sz w:val="22"/>
              </w:rPr>
              <w:t>/</w:t>
            </w:r>
            <w:r>
              <w:rPr>
                <w:rFonts w:ascii="仿宋_GB2312" w:hAnsi="宋体" w:eastAsia="仿宋_GB2312" w:cs="仿宋_GB2312"/>
                <w:color w:val="auto"/>
                <w:kern w:val="0"/>
                <w:sz w:val="22"/>
              </w:rPr>
              <w:t>CCF A类</w:t>
            </w:r>
            <w:r>
              <w:rPr>
                <w:rFonts w:hint="eastAsia" w:ascii="仿宋_GB2312" w:hAnsi="宋体" w:eastAsia="仿宋_GB2312" w:cs="仿宋_GB2312"/>
                <w:color w:val="auto"/>
                <w:kern w:val="0"/>
                <w:sz w:val="22"/>
              </w:rPr>
              <w:t>国际</w:t>
            </w:r>
            <w:r>
              <w:rPr>
                <w:rFonts w:ascii="仿宋_GB2312" w:hAnsi="宋体" w:eastAsia="仿宋_GB2312" w:cs="仿宋_GB2312"/>
                <w:color w:val="auto"/>
                <w:kern w:val="0"/>
                <w:sz w:val="22"/>
              </w:rPr>
              <w:t>会议</w:t>
            </w:r>
            <w:r>
              <w:rPr>
                <w:rFonts w:hint="eastAsia" w:ascii="仿宋_GB2312" w:hAnsi="宋体" w:eastAsia="仿宋_GB2312" w:cs="仿宋_GB2312"/>
                <w:color w:val="auto"/>
                <w:kern w:val="0"/>
                <w:sz w:val="22"/>
              </w:rPr>
              <w:t>/CCF A类中文科技期刊</w:t>
            </w:r>
          </w:p>
        </w:tc>
      </w:tr>
      <w:tr>
        <w:tblPrEx>
          <w:tblCellMar>
            <w:top w:w="0" w:type="dxa"/>
            <w:left w:w="0" w:type="dxa"/>
            <w:bottom w:w="0" w:type="dxa"/>
            <w:right w:w="0" w:type="dxa"/>
          </w:tblCellMar>
        </w:tblPrEx>
        <w:trPr>
          <w:jc w:val="center"/>
        </w:trPr>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3</w:t>
            </w:r>
          </w:p>
        </w:tc>
        <w:tc>
          <w:tcPr>
            <w:tcW w:w="7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中科院三区（20%-50%）或JCR二区（25%-50%）/CCF</w:t>
            </w:r>
            <w:r>
              <w:rPr>
                <w:rFonts w:hint="eastAsia" w:ascii="仿宋_GB2312" w:hAnsi="宋体" w:eastAsia="仿宋_GB2312" w:cs="仿宋_GB2312"/>
                <w:color w:val="auto"/>
                <w:kern w:val="0"/>
                <w:sz w:val="22"/>
              </w:rPr>
              <w:t xml:space="preserve"> </w:t>
            </w:r>
            <w:r>
              <w:rPr>
                <w:rFonts w:ascii="仿宋_GB2312" w:hAnsi="宋体" w:eastAsia="仿宋_GB2312" w:cs="仿宋_GB2312"/>
                <w:color w:val="auto"/>
                <w:kern w:val="0"/>
                <w:sz w:val="22"/>
              </w:rPr>
              <w:t>C类</w:t>
            </w:r>
            <w:r>
              <w:rPr>
                <w:rFonts w:hint="eastAsia" w:ascii="仿宋_GB2312" w:hAnsi="宋体" w:eastAsia="仿宋_GB2312" w:cs="仿宋_GB2312"/>
                <w:color w:val="auto"/>
                <w:kern w:val="0"/>
                <w:sz w:val="22"/>
              </w:rPr>
              <w:t>国际</w:t>
            </w:r>
            <w:r>
              <w:rPr>
                <w:rFonts w:ascii="仿宋_GB2312" w:hAnsi="宋体" w:eastAsia="仿宋_GB2312" w:cs="仿宋_GB2312"/>
                <w:color w:val="auto"/>
                <w:kern w:val="0"/>
                <w:sz w:val="22"/>
              </w:rPr>
              <w:t>期刊</w:t>
            </w:r>
            <w:r>
              <w:rPr>
                <w:rFonts w:hint="eastAsia" w:ascii="仿宋_GB2312" w:hAnsi="宋体" w:eastAsia="仿宋_GB2312" w:cs="仿宋_GB2312"/>
                <w:color w:val="auto"/>
                <w:kern w:val="0"/>
                <w:sz w:val="22"/>
              </w:rPr>
              <w:t>/学院学科期刊</w:t>
            </w:r>
            <w:r>
              <w:rPr>
                <w:rFonts w:ascii="仿宋_GB2312" w:hAnsi="宋体" w:eastAsia="仿宋_GB2312" w:cs="仿宋_GB2312"/>
                <w:color w:val="auto"/>
                <w:kern w:val="0"/>
                <w:sz w:val="22"/>
              </w:rPr>
              <w:t>目录中的推荐期刊/CCF B类</w:t>
            </w:r>
            <w:r>
              <w:rPr>
                <w:rFonts w:hint="eastAsia" w:ascii="仿宋_GB2312" w:hAnsi="宋体" w:eastAsia="仿宋_GB2312" w:cs="仿宋_GB2312"/>
                <w:color w:val="auto"/>
                <w:kern w:val="0"/>
                <w:sz w:val="22"/>
              </w:rPr>
              <w:t>国际</w:t>
            </w:r>
            <w:r>
              <w:rPr>
                <w:rFonts w:ascii="仿宋_GB2312" w:hAnsi="宋体" w:eastAsia="仿宋_GB2312" w:cs="仿宋_GB2312"/>
                <w:color w:val="auto"/>
                <w:kern w:val="0"/>
                <w:sz w:val="22"/>
              </w:rPr>
              <w:t>会议</w:t>
            </w:r>
            <w:r>
              <w:rPr>
                <w:rFonts w:hint="eastAsia" w:ascii="仿宋_GB2312" w:hAnsi="宋体" w:eastAsia="仿宋_GB2312" w:cs="仿宋_GB2312"/>
                <w:color w:val="auto"/>
                <w:kern w:val="0"/>
                <w:sz w:val="22"/>
              </w:rPr>
              <w:t>/CCF B类中文科技期刊</w:t>
            </w:r>
          </w:p>
        </w:tc>
      </w:tr>
      <w:tr>
        <w:tblPrEx>
          <w:tblCellMar>
            <w:top w:w="0" w:type="dxa"/>
            <w:left w:w="0" w:type="dxa"/>
            <w:bottom w:w="0" w:type="dxa"/>
            <w:right w:w="0" w:type="dxa"/>
          </w:tblCellMar>
        </w:tblPrEx>
        <w:trPr>
          <w:jc w:val="center"/>
        </w:trPr>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4</w:t>
            </w:r>
          </w:p>
        </w:tc>
        <w:tc>
          <w:tcPr>
            <w:tcW w:w="7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其他SCI期刊/CCF其他期刊或会议/EI</w:t>
            </w:r>
            <w:r>
              <w:rPr>
                <w:rFonts w:hint="eastAsia" w:ascii="仿宋_GB2312" w:hAnsi="宋体" w:eastAsia="仿宋_GB2312" w:cs="仿宋_GB2312"/>
                <w:color w:val="auto"/>
                <w:kern w:val="0"/>
                <w:sz w:val="22"/>
              </w:rPr>
              <w:t>论文/中文</w:t>
            </w:r>
            <w:r>
              <w:rPr>
                <w:rFonts w:ascii="仿宋_GB2312" w:hAnsi="宋体" w:eastAsia="仿宋_GB2312" w:cs="仿宋_GB2312"/>
                <w:color w:val="auto"/>
                <w:kern w:val="0"/>
                <w:sz w:val="22"/>
              </w:rPr>
              <w:t>核心期刊</w:t>
            </w:r>
          </w:p>
        </w:tc>
      </w:tr>
      <w:tr>
        <w:tblPrEx>
          <w:tblCellMar>
            <w:top w:w="0" w:type="dxa"/>
            <w:left w:w="0" w:type="dxa"/>
            <w:bottom w:w="0" w:type="dxa"/>
            <w:right w:w="0" w:type="dxa"/>
          </w:tblCellMar>
        </w:tblPrEx>
        <w:trPr>
          <w:jc w:val="center"/>
        </w:trPr>
        <w:tc>
          <w:tcPr>
            <w:tcW w:w="5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center"/>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5</w:t>
            </w:r>
          </w:p>
        </w:tc>
        <w:tc>
          <w:tcPr>
            <w:tcW w:w="7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00" w:lineRule="exact"/>
              <w:jc w:val="left"/>
              <w:textAlignment w:val="center"/>
              <w:rPr>
                <w:rFonts w:ascii="仿宋_GB2312" w:hAnsi="宋体" w:eastAsia="仿宋_GB2312" w:cs="仿宋_GB2312"/>
                <w:color w:val="auto"/>
                <w:sz w:val="22"/>
              </w:rPr>
            </w:pPr>
            <w:r>
              <w:rPr>
                <w:rFonts w:ascii="仿宋_GB2312" w:hAnsi="宋体" w:eastAsia="仿宋_GB2312" w:cs="仿宋_GB2312"/>
                <w:color w:val="auto"/>
                <w:kern w:val="0"/>
                <w:sz w:val="22"/>
              </w:rPr>
              <w:t>其他</w:t>
            </w:r>
            <w:r>
              <w:rPr>
                <w:rFonts w:hint="eastAsia" w:ascii="仿宋_GB2312" w:hAnsi="宋体" w:eastAsia="仿宋_GB2312" w:cs="仿宋_GB2312"/>
                <w:color w:val="auto"/>
                <w:kern w:val="0"/>
                <w:sz w:val="22"/>
              </w:rPr>
              <w:t>期刊或会议</w:t>
            </w:r>
            <w:r>
              <w:rPr>
                <w:rFonts w:ascii="仿宋_GB2312" w:hAnsi="宋体" w:eastAsia="仿宋_GB2312" w:cs="仿宋_GB2312"/>
                <w:color w:val="auto"/>
                <w:kern w:val="0"/>
                <w:sz w:val="22"/>
              </w:rPr>
              <w:t>论文</w:t>
            </w:r>
          </w:p>
        </w:tc>
      </w:tr>
      <w:tr>
        <w:tblPrEx>
          <w:tblCellMar>
            <w:top w:w="0" w:type="dxa"/>
            <w:left w:w="0" w:type="dxa"/>
            <w:bottom w:w="0" w:type="dxa"/>
            <w:right w:w="0" w:type="dxa"/>
          </w:tblCellMar>
        </w:tblPrEx>
        <w:trPr>
          <w:jc w:val="center"/>
        </w:trPr>
        <w:tc>
          <w:tcPr>
            <w:tcW w:w="793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00" w:lineRule="exact"/>
              <w:jc w:val="left"/>
              <w:textAlignment w:val="center"/>
              <w:rPr>
                <w:rFonts w:ascii="仿宋_GB2312" w:hAnsi="宋体" w:eastAsia="仿宋_GB2312" w:cs="仿宋_GB2312"/>
                <w:color w:val="auto"/>
                <w:kern w:val="0"/>
                <w:sz w:val="22"/>
              </w:rPr>
            </w:pPr>
            <w:r>
              <w:rPr>
                <w:rFonts w:hint="eastAsia" w:ascii="仿宋_GB2312" w:hAnsi="宋体" w:eastAsia="仿宋_GB2312" w:cs="仿宋_GB2312"/>
                <w:color w:val="auto"/>
                <w:kern w:val="0"/>
                <w:sz w:val="22"/>
              </w:rPr>
              <w:t>备注：中科院分区为最新升级版（202</w:t>
            </w:r>
            <w:r>
              <w:rPr>
                <w:rFonts w:ascii="仿宋_GB2312" w:hAnsi="宋体" w:eastAsia="仿宋_GB2312" w:cs="仿宋_GB2312"/>
                <w:color w:val="auto"/>
                <w:kern w:val="0"/>
                <w:sz w:val="22"/>
              </w:rPr>
              <w:t>3</w:t>
            </w:r>
            <w:r>
              <w:rPr>
                <w:rFonts w:hint="eastAsia" w:ascii="仿宋_GB2312" w:hAnsi="宋体" w:eastAsia="仿宋_GB2312" w:cs="仿宋_GB2312"/>
                <w:color w:val="auto"/>
                <w:kern w:val="0"/>
                <w:sz w:val="22"/>
              </w:rPr>
              <w:t>版），发表在中科院预警期刊里（以202</w:t>
            </w:r>
            <w:r>
              <w:rPr>
                <w:rFonts w:ascii="仿宋_GB2312" w:hAnsi="宋体" w:eastAsia="仿宋_GB2312" w:cs="仿宋_GB2312"/>
                <w:color w:val="auto"/>
                <w:kern w:val="0"/>
                <w:sz w:val="22"/>
              </w:rPr>
              <w:t>4</w:t>
            </w:r>
            <w:r>
              <w:rPr>
                <w:rFonts w:hint="eastAsia" w:ascii="仿宋_GB2312" w:hAnsi="宋体" w:eastAsia="仿宋_GB2312" w:cs="仿宋_GB2312"/>
                <w:color w:val="auto"/>
                <w:kern w:val="0"/>
                <w:sz w:val="22"/>
              </w:rPr>
              <w:t>版</w:t>
            </w:r>
            <w:r>
              <w:rPr>
                <w:rFonts w:ascii="仿宋_GB2312" w:hAnsi="宋体" w:eastAsia="仿宋_GB2312" w:cs="仿宋_GB2312"/>
                <w:color w:val="auto"/>
                <w:kern w:val="0"/>
                <w:sz w:val="22"/>
              </w:rPr>
              <w:t>为准</w:t>
            </w:r>
            <w:r>
              <w:rPr>
                <w:rFonts w:hint="eastAsia" w:ascii="仿宋_GB2312" w:hAnsi="宋体" w:eastAsia="仿宋_GB2312" w:cs="仿宋_GB2312"/>
                <w:color w:val="auto"/>
                <w:kern w:val="0"/>
                <w:sz w:val="22"/>
              </w:rPr>
              <w:t>）的降一档处理。</w:t>
            </w:r>
          </w:p>
        </w:tc>
      </w:tr>
    </w:tbl>
    <w:p>
      <w:pPr>
        <w:shd w:val="clear" w:color="auto" w:fill="FFFFFF" w:themeFill="background1"/>
        <w:spacing w:line="560" w:lineRule="exact"/>
        <w:ind w:firstLine="598" w:firstLineChars="200"/>
        <w:rPr>
          <w:rFonts w:ascii="楷体_GB2312" w:eastAsia="楷体_GB2312"/>
          <w:color w:val="auto"/>
          <w:sz w:val="32"/>
          <w:szCs w:val="32"/>
        </w:rPr>
      </w:pPr>
      <w:r>
        <w:rPr>
          <w:rFonts w:hint="eastAsia" w:ascii="楷体_GB2312" w:eastAsia="楷体_GB2312"/>
          <w:color w:val="auto"/>
          <w:sz w:val="32"/>
          <w:szCs w:val="32"/>
        </w:rPr>
        <w:t>（二）论文注意事项</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1.只</w:t>
      </w:r>
      <w:r>
        <w:rPr>
          <w:rFonts w:ascii="仿宋_GB2312" w:eastAsia="仿宋_GB2312"/>
          <w:color w:val="auto"/>
          <w:sz w:val="32"/>
          <w:szCs w:val="32"/>
        </w:rPr>
        <w:t>计</w:t>
      </w:r>
      <w:r>
        <w:rPr>
          <w:rFonts w:hint="eastAsia" w:ascii="仿宋_GB2312" w:eastAsia="仿宋_GB2312"/>
          <w:color w:val="auto"/>
          <w:sz w:val="32"/>
          <w:szCs w:val="32"/>
        </w:rPr>
        <w:t>档次水平</w:t>
      </w:r>
      <w:r>
        <w:rPr>
          <w:rFonts w:ascii="仿宋_GB2312" w:eastAsia="仿宋_GB2312"/>
          <w:color w:val="auto"/>
          <w:sz w:val="32"/>
          <w:szCs w:val="32"/>
        </w:rPr>
        <w:t>最高的</w:t>
      </w:r>
      <w:r>
        <w:rPr>
          <w:rFonts w:hint="eastAsia" w:ascii="仿宋_GB2312" w:eastAsia="仿宋_GB2312"/>
          <w:color w:val="auto"/>
          <w:sz w:val="32"/>
          <w:szCs w:val="32"/>
        </w:rPr>
        <w:t>2篇论文。</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2.录用状态学术论文，降一档处理。</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3.共同一作的论文</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（1）仅认定在论文首页注明的，写在致谢等位置的不予认定；</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仅</w:t>
      </w:r>
      <w:r>
        <w:rPr>
          <w:rFonts w:hint="eastAsia" w:ascii="仿宋_GB2312" w:eastAsia="仿宋_GB2312"/>
          <w:color w:val="auto"/>
          <w:sz w:val="32"/>
          <w:szCs w:val="32"/>
        </w:rPr>
        <w:t>限用于一</w:t>
      </w:r>
      <w:r>
        <w:rPr>
          <w:rFonts w:ascii="仿宋_GB2312" w:eastAsia="仿宋_GB2312"/>
          <w:color w:val="auto"/>
          <w:sz w:val="32"/>
          <w:szCs w:val="32"/>
        </w:rPr>
        <w:t>人参加系统工程学院</w:t>
      </w:r>
      <w:r>
        <w:rPr>
          <w:rFonts w:hint="eastAsia" w:ascii="仿宋_GB2312" w:eastAsia="仿宋_GB2312"/>
          <w:color w:val="auto"/>
          <w:sz w:val="32"/>
          <w:szCs w:val="32"/>
        </w:rPr>
        <w:t>“申请</w:t>
      </w:r>
      <w:r>
        <w:rPr>
          <w:rFonts w:ascii="仿宋_GB2312" w:eastAsia="仿宋_GB2312"/>
          <w:color w:val="auto"/>
          <w:sz w:val="32"/>
          <w:szCs w:val="32"/>
        </w:rPr>
        <w:t>-考核</w:t>
      </w:r>
      <w:r>
        <w:rPr>
          <w:rFonts w:hint="eastAsia" w:ascii="仿宋_GB2312" w:eastAsia="仿宋_GB2312"/>
          <w:color w:val="auto"/>
          <w:sz w:val="32"/>
          <w:szCs w:val="32"/>
        </w:rPr>
        <w:t>”制材料</w:t>
      </w:r>
      <w:r>
        <w:rPr>
          <w:rFonts w:ascii="仿宋_GB2312" w:eastAsia="仿宋_GB2312"/>
          <w:color w:val="auto"/>
          <w:sz w:val="32"/>
          <w:szCs w:val="32"/>
        </w:rPr>
        <w:t>审核</w:t>
      </w:r>
      <w:r>
        <w:rPr>
          <w:rFonts w:hint="eastAsia" w:ascii="仿宋_GB2312" w:eastAsia="仿宋_GB2312"/>
          <w:color w:val="auto"/>
          <w:sz w:val="32"/>
          <w:szCs w:val="32"/>
        </w:rPr>
        <w:t>（附全部共同一作签字的承诺书）；</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（3）非第一作者</w:t>
      </w:r>
      <w:r>
        <w:rPr>
          <w:rFonts w:ascii="仿宋_GB2312" w:eastAsia="仿宋_GB2312"/>
          <w:color w:val="auto"/>
          <w:sz w:val="32"/>
          <w:szCs w:val="32"/>
        </w:rPr>
        <w:t>的共同一作</w:t>
      </w:r>
      <w:r>
        <w:rPr>
          <w:rFonts w:hint="eastAsia" w:ascii="仿宋_GB2312" w:eastAsia="仿宋_GB2312"/>
          <w:color w:val="auto"/>
          <w:sz w:val="32"/>
          <w:szCs w:val="32"/>
        </w:rPr>
        <w:t>，只计一、二档论文。</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4.硕导一作考生二作的论文</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（1）</w:t>
      </w:r>
      <w:r>
        <w:rPr>
          <w:rFonts w:ascii="仿宋_GB2312" w:eastAsia="仿宋_GB2312"/>
          <w:color w:val="auto"/>
          <w:sz w:val="32"/>
          <w:szCs w:val="32"/>
        </w:rPr>
        <w:t>如</w:t>
      </w:r>
      <w:r>
        <w:rPr>
          <w:rFonts w:hint="eastAsia" w:ascii="仿宋_GB2312" w:eastAsia="仿宋_GB2312"/>
          <w:color w:val="auto"/>
          <w:sz w:val="32"/>
          <w:szCs w:val="32"/>
        </w:rPr>
        <w:t>硕导</w:t>
      </w:r>
      <w:r>
        <w:rPr>
          <w:rFonts w:ascii="仿宋_GB2312" w:eastAsia="仿宋_GB2312"/>
          <w:color w:val="auto"/>
          <w:sz w:val="32"/>
          <w:szCs w:val="32"/>
        </w:rPr>
        <w:t>一作学生</w:t>
      </w:r>
      <w:r>
        <w:rPr>
          <w:rFonts w:hint="eastAsia" w:ascii="仿宋_GB2312" w:eastAsia="仿宋_GB2312"/>
          <w:color w:val="auto"/>
          <w:sz w:val="32"/>
          <w:szCs w:val="32"/>
        </w:rPr>
        <w:t>二作</w:t>
      </w:r>
      <w:r>
        <w:rPr>
          <w:rFonts w:ascii="仿宋_GB2312" w:eastAsia="仿宋_GB2312"/>
          <w:color w:val="auto"/>
          <w:sz w:val="32"/>
          <w:szCs w:val="32"/>
        </w:rPr>
        <w:t>为</w:t>
      </w:r>
      <w:r>
        <w:rPr>
          <w:rFonts w:hint="eastAsia" w:ascii="仿宋_GB2312" w:eastAsia="仿宋_GB2312"/>
          <w:color w:val="auto"/>
          <w:sz w:val="32"/>
          <w:szCs w:val="32"/>
        </w:rPr>
        <w:t>所在</w:t>
      </w:r>
      <w:r>
        <w:rPr>
          <w:rFonts w:ascii="仿宋_GB2312" w:eastAsia="仿宋_GB2312"/>
          <w:color w:val="auto"/>
          <w:sz w:val="32"/>
          <w:szCs w:val="32"/>
        </w:rPr>
        <w:t>学校要求行为，由</w:t>
      </w:r>
      <w:r>
        <w:rPr>
          <w:rFonts w:hint="eastAsia" w:ascii="仿宋_GB2312" w:eastAsia="仿宋_GB2312"/>
          <w:color w:val="auto"/>
          <w:sz w:val="32"/>
          <w:szCs w:val="32"/>
        </w:rPr>
        <w:t>相关单位</w:t>
      </w:r>
      <w:r>
        <w:rPr>
          <w:rFonts w:ascii="仿宋_GB2312" w:eastAsia="仿宋_GB2312"/>
          <w:color w:val="auto"/>
          <w:sz w:val="32"/>
          <w:szCs w:val="32"/>
        </w:rPr>
        <w:t>出具证明后按照学生一作对待</w:t>
      </w:r>
      <w:r>
        <w:rPr>
          <w:rFonts w:hint="eastAsia" w:ascii="仿宋_GB2312" w:eastAsia="仿宋_GB2312"/>
          <w:color w:val="auto"/>
          <w:sz w:val="32"/>
          <w:szCs w:val="32"/>
        </w:rPr>
        <w:t>；</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（2）其余此类论文只计一、二档。</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5.EI论文需要提供图书馆开具的检索证明材料。</w:t>
      </w:r>
    </w:p>
    <w:p>
      <w:pPr>
        <w:spacing w:line="560" w:lineRule="exact"/>
        <w:ind w:firstLine="598" w:firstLineChars="200"/>
        <w:rPr>
          <w:rFonts w:ascii="仿宋_GB2312" w:eastAsia="仿宋_GB2312"/>
          <w:color w:val="auto"/>
          <w:sz w:val="32"/>
          <w:szCs w:val="32"/>
        </w:rPr>
      </w:pPr>
      <w:r>
        <w:rPr>
          <w:rFonts w:ascii="仿宋_GB2312" w:eastAsia="仿宋_GB2312"/>
          <w:color w:val="auto"/>
          <w:sz w:val="32"/>
          <w:szCs w:val="32"/>
        </w:rPr>
        <w:t>6.论文</w:t>
      </w:r>
      <w:r>
        <w:rPr>
          <w:rFonts w:hint="eastAsia" w:ascii="仿宋_GB2312" w:eastAsia="仿宋_GB2312"/>
          <w:color w:val="auto"/>
          <w:sz w:val="32"/>
          <w:szCs w:val="32"/>
        </w:rPr>
        <w:t>分类说明</w:t>
      </w:r>
      <w:r>
        <w:rPr>
          <w:rFonts w:ascii="仿宋_GB2312" w:eastAsia="仿宋_GB2312"/>
          <w:color w:val="auto"/>
          <w:sz w:val="32"/>
          <w:szCs w:val="32"/>
        </w:rPr>
        <w:t>见附件</w:t>
      </w:r>
      <w:r>
        <w:rPr>
          <w:rFonts w:hint="eastAsia" w:ascii="仿宋_GB2312" w:eastAsia="仿宋_GB2312"/>
          <w:color w:val="auto"/>
          <w:sz w:val="32"/>
          <w:szCs w:val="32"/>
        </w:rPr>
        <w:t>5。</w:t>
      </w:r>
    </w:p>
    <w:p>
      <w:pPr>
        <w:spacing w:line="560" w:lineRule="exact"/>
        <w:ind w:firstLine="598" w:firstLineChars="200"/>
        <w:rPr>
          <w:rFonts w:ascii="楷体_GB2312" w:eastAsia="楷体_GB2312"/>
          <w:color w:val="auto"/>
          <w:sz w:val="32"/>
          <w:szCs w:val="32"/>
        </w:rPr>
      </w:pPr>
      <w:r>
        <w:rPr>
          <w:rFonts w:hint="eastAsia" w:ascii="楷体_GB2312" w:eastAsia="楷体_GB2312"/>
          <w:color w:val="auto"/>
          <w:sz w:val="32"/>
          <w:szCs w:val="32"/>
        </w:rPr>
        <w:t>（三）学业水平和能力</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填写符合《招生办法》（附件1）第七条</w:t>
      </w:r>
      <w:r>
        <w:rPr>
          <w:rFonts w:ascii="仿宋_GB2312" w:eastAsia="仿宋_GB2312"/>
          <w:color w:val="auto"/>
          <w:sz w:val="32"/>
          <w:szCs w:val="32"/>
        </w:rPr>
        <w:t>的</w:t>
      </w:r>
      <w:r>
        <w:rPr>
          <w:rFonts w:hint="eastAsia" w:ascii="仿宋_GB2312" w:eastAsia="仿宋_GB2312"/>
          <w:color w:val="auto"/>
          <w:sz w:val="32"/>
          <w:szCs w:val="32"/>
        </w:rPr>
        <w:t>情况</w:t>
      </w:r>
      <w:r>
        <w:rPr>
          <w:rFonts w:ascii="仿宋_GB2312" w:eastAsia="仿宋_GB2312"/>
          <w:color w:val="auto"/>
          <w:sz w:val="32"/>
          <w:szCs w:val="32"/>
        </w:rPr>
        <w:t>。</w:t>
      </w:r>
    </w:p>
    <w:p>
      <w:pPr>
        <w:spacing w:line="560" w:lineRule="exact"/>
        <w:ind w:firstLine="598" w:firstLineChars="200"/>
        <w:rPr>
          <w:rFonts w:ascii="仿宋_GB2312" w:eastAsia="仿宋_GB2312"/>
          <w:color w:val="auto"/>
          <w:sz w:val="32"/>
          <w:szCs w:val="32"/>
        </w:rPr>
      </w:pPr>
      <w:r>
        <w:rPr>
          <w:rFonts w:hint="eastAsia" w:ascii="黑体" w:eastAsia="黑体"/>
          <w:color w:val="auto"/>
          <w:sz w:val="32"/>
          <w:szCs w:val="32"/>
          <w:lang w:val="es-ES"/>
        </w:rPr>
        <w:t xml:space="preserve">第四条 </w:t>
      </w:r>
      <w:r>
        <w:rPr>
          <w:rFonts w:hint="eastAsia" w:ascii="仿宋_GB2312" w:eastAsia="仿宋_GB2312"/>
          <w:b/>
          <w:bCs/>
          <w:color w:val="auto"/>
          <w:sz w:val="32"/>
          <w:szCs w:val="32"/>
        </w:rPr>
        <w:t>应用实践能力</w:t>
      </w:r>
      <w:r>
        <w:rPr>
          <w:rFonts w:hint="eastAsia" w:ascii="黑体" w:eastAsia="黑体"/>
          <w:color w:val="auto"/>
          <w:sz w:val="32"/>
          <w:szCs w:val="32"/>
        </w:rPr>
        <w:t>。</w:t>
      </w:r>
      <w:r>
        <w:rPr>
          <w:rFonts w:hint="eastAsia" w:ascii="仿宋_GB2312" w:eastAsia="仿宋_GB2312"/>
          <w:color w:val="auto"/>
          <w:sz w:val="32"/>
          <w:szCs w:val="32"/>
          <w:lang w:val="es-ES"/>
        </w:rPr>
        <w:t>主要评价考生应用实践能力，主要评价考生应用实践能力，</w:t>
      </w:r>
      <w:r>
        <w:rPr>
          <w:rFonts w:hint="eastAsia" w:ascii="仿宋_GB2312" w:eastAsia="仿宋_GB2312"/>
          <w:color w:val="auto"/>
          <w:sz w:val="32"/>
          <w:szCs w:val="32"/>
        </w:rPr>
        <w:t>由专家针对考生参加的科研实践、竞赛获奖、</w:t>
      </w:r>
      <w:r>
        <w:rPr>
          <w:rFonts w:hint="eastAsia" w:ascii="仿宋_GB2312" w:eastAsia="仿宋_GB2312"/>
          <w:color w:val="auto"/>
          <w:sz w:val="32"/>
          <w:szCs w:val="32"/>
          <w:lang w:eastAsia="zh-CN"/>
        </w:rPr>
        <w:t>专利软著、</w:t>
      </w:r>
      <w:r>
        <w:rPr>
          <w:rFonts w:hint="eastAsia" w:ascii="仿宋_GB2312" w:eastAsia="仿宋_GB2312"/>
          <w:color w:val="auto"/>
          <w:sz w:val="32"/>
          <w:szCs w:val="32"/>
        </w:rPr>
        <w:t>重大任务等情况进行综合评分</w:t>
      </w:r>
    </w:p>
    <w:p>
      <w:pPr>
        <w:shd w:val="clear" w:color="auto" w:fill="FFFFFF" w:themeFill="background1"/>
        <w:spacing w:line="560" w:lineRule="exact"/>
        <w:ind w:firstLine="598" w:firstLineChars="200"/>
        <w:rPr>
          <w:rFonts w:ascii="仿宋_GB2312" w:eastAsia="仿宋_GB2312"/>
          <w:color w:val="auto"/>
          <w:sz w:val="32"/>
          <w:szCs w:val="32"/>
        </w:rPr>
      </w:pPr>
      <w:r>
        <w:rPr>
          <w:rFonts w:hint="eastAsia" w:ascii="黑体" w:eastAsia="黑体"/>
          <w:color w:val="auto"/>
          <w:sz w:val="32"/>
          <w:szCs w:val="32"/>
          <w:lang w:val="es-ES"/>
        </w:rPr>
        <w:t>第</w:t>
      </w:r>
      <w:r>
        <w:rPr>
          <w:rFonts w:hint="eastAsia" w:ascii="黑体" w:eastAsia="黑体"/>
          <w:color w:val="auto"/>
          <w:sz w:val="32"/>
          <w:szCs w:val="32"/>
          <w:lang w:val="es-ES" w:eastAsia="zh-CN"/>
        </w:rPr>
        <w:t>五</w:t>
      </w:r>
      <w:r>
        <w:rPr>
          <w:rFonts w:hint="eastAsia" w:ascii="黑体" w:eastAsia="黑体"/>
          <w:color w:val="auto"/>
          <w:sz w:val="32"/>
          <w:szCs w:val="32"/>
          <w:lang w:val="es-ES"/>
        </w:rPr>
        <w:t xml:space="preserve">条 </w:t>
      </w:r>
      <w:r>
        <w:rPr>
          <w:rFonts w:hint="eastAsia" w:ascii="仿宋_GB2312" w:eastAsia="仿宋_GB2312"/>
          <w:b/>
          <w:bCs/>
          <w:color w:val="auto"/>
          <w:sz w:val="32"/>
          <w:szCs w:val="32"/>
        </w:rPr>
        <w:t>综合素质。</w:t>
      </w:r>
      <w:r>
        <w:rPr>
          <w:rFonts w:hint="eastAsia" w:ascii="仿宋_GB2312" w:eastAsia="仿宋_GB2312"/>
          <w:color w:val="auto"/>
          <w:sz w:val="32"/>
          <w:szCs w:val="32"/>
        </w:rPr>
        <w:t>主要评价考生的硕士期间课程学习成绩、组织管理能力、文体素质和军政素质等方面的表现。</w:t>
      </w:r>
    </w:p>
    <w:p>
      <w:pPr>
        <w:shd w:val="clear" w:color="auto" w:fill="FFFFFF" w:themeFill="background1"/>
        <w:spacing w:line="560" w:lineRule="exact"/>
        <w:ind w:firstLine="598" w:firstLineChars="200"/>
        <w:rPr>
          <w:rFonts w:ascii="仿宋_GB2312" w:eastAsia="仿宋_GB2312"/>
          <w:color w:val="auto"/>
          <w:sz w:val="32"/>
          <w:szCs w:val="32"/>
        </w:rPr>
      </w:pPr>
      <w:r>
        <w:rPr>
          <w:rFonts w:hint="eastAsia" w:ascii="黑体" w:eastAsia="黑体"/>
          <w:color w:val="auto"/>
          <w:sz w:val="32"/>
          <w:szCs w:val="32"/>
          <w:lang w:val="es-ES"/>
        </w:rPr>
        <w:t>第</w:t>
      </w:r>
      <w:r>
        <w:rPr>
          <w:rFonts w:hint="eastAsia" w:ascii="黑体" w:eastAsia="黑体"/>
          <w:color w:val="auto"/>
          <w:sz w:val="32"/>
          <w:szCs w:val="32"/>
          <w:lang w:val="es-ES" w:eastAsia="zh-CN"/>
        </w:rPr>
        <w:t>六</w:t>
      </w:r>
      <w:r>
        <w:rPr>
          <w:rFonts w:ascii="黑体" w:eastAsia="黑体"/>
          <w:color w:val="auto"/>
          <w:sz w:val="32"/>
          <w:szCs w:val="32"/>
          <w:lang w:val="es-ES"/>
        </w:rPr>
        <w:t>条</w:t>
      </w:r>
      <w:r>
        <w:rPr>
          <w:rFonts w:hint="eastAsia" w:ascii="仿宋_GB2312" w:eastAsia="仿宋_GB2312"/>
          <w:color w:val="auto"/>
          <w:sz w:val="32"/>
          <w:szCs w:val="32"/>
        </w:rPr>
        <w:t xml:space="preserve"> 所有</w:t>
      </w:r>
      <w:r>
        <w:rPr>
          <w:rFonts w:ascii="仿宋_GB2312" w:eastAsia="仿宋_GB2312"/>
          <w:color w:val="auto"/>
          <w:sz w:val="32"/>
          <w:szCs w:val="32"/>
        </w:rPr>
        <w:t>业绩评价年限为本科</w:t>
      </w:r>
      <w:r>
        <w:rPr>
          <w:rFonts w:hint="eastAsia" w:ascii="仿宋_GB2312" w:eastAsia="仿宋_GB2312"/>
          <w:color w:val="auto"/>
          <w:sz w:val="32"/>
          <w:szCs w:val="32"/>
        </w:rPr>
        <w:t>（含）</w:t>
      </w:r>
      <w:r>
        <w:rPr>
          <w:rFonts w:ascii="仿宋_GB2312" w:eastAsia="仿宋_GB2312"/>
          <w:color w:val="auto"/>
          <w:sz w:val="32"/>
          <w:szCs w:val="32"/>
        </w:rPr>
        <w:t>以后。</w:t>
      </w:r>
    </w:p>
    <w:p>
      <w:pPr>
        <w:shd w:val="clear" w:color="auto" w:fill="FFFFFF" w:themeFill="background1"/>
        <w:spacing w:line="560" w:lineRule="exact"/>
        <w:ind w:firstLine="598" w:firstLineChars="200"/>
        <w:rPr>
          <w:color w:val="auto"/>
        </w:rPr>
      </w:pPr>
      <w:r>
        <w:rPr>
          <w:rFonts w:hint="eastAsia" w:ascii="黑体" w:eastAsia="黑体"/>
          <w:color w:val="auto"/>
          <w:sz w:val="32"/>
          <w:szCs w:val="32"/>
          <w:lang w:val="es-ES"/>
        </w:rPr>
        <w:t>第</w:t>
      </w:r>
      <w:r>
        <w:rPr>
          <w:rFonts w:hint="eastAsia" w:ascii="黑体" w:eastAsia="黑体"/>
          <w:color w:val="auto"/>
          <w:sz w:val="32"/>
          <w:szCs w:val="32"/>
          <w:lang w:val="es-ES" w:eastAsia="zh-CN"/>
        </w:rPr>
        <w:t>七</w:t>
      </w:r>
      <w:r>
        <w:rPr>
          <w:rFonts w:hint="eastAsia" w:ascii="黑体" w:eastAsia="黑体"/>
          <w:color w:val="auto"/>
          <w:sz w:val="32"/>
          <w:szCs w:val="32"/>
          <w:lang w:val="es-ES"/>
        </w:rPr>
        <w:t xml:space="preserve">条 </w:t>
      </w:r>
      <w:r>
        <w:rPr>
          <w:rFonts w:hint="eastAsia" w:ascii="仿宋_GB2312" w:eastAsia="仿宋_GB2312"/>
          <w:color w:val="auto"/>
          <w:sz w:val="32"/>
          <w:szCs w:val="32"/>
        </w:rPr>
        <w:t>材料审核成绩评定流程由考生根据上述标准填写《</w:t>
      </w:r>
      <w:r>
        <w:rPr>
          <w:rFonts w:hint="eastAsia" w:ascii="仿宋_GB2312" w:hAnsi="仿宋" w:eastAsia="仿宋_GB2312" w:cs="仿宋"/>
          <w:color w:val="auto"/>
          <w:spacing w:val="4"/>
          <w:sz w:val="32"/>
          <w:szCs w:val="32"/>
        </w:rPr>
        <w:t>系统工程学院个人业绩汇总表</w:t>
      </w:r>
      <w:r>
        <w:rPr>
          <w:rFonts w:hint="eastAsia" w:ascii="仿宋_GB2312" w:eastAsia="仿宋_GB2312"/>
          <w:color w:val="auto"/>
          <w:sz w:val="32"/>
          <w:szCs w:val="32"/>
        </w:rPr>
        <w:t>》、报考导师审核、专家评审的环节组成。</w:t>
      </w:r>
      <w:r>
        <w:rPr>
          <w:color w:val="auto"/>
        </w:rPr>
        <w:br w:type="page"/>
      </w:r>
    </w:p>
    <w:p>
      <w:pPr>
        <w:widowControl/>
        <w:shd w:val="clear" w:color="auto" w:fill="FFFFFF" w:themeFill="background1"/>
        <w:rPr>
          <w:rFonts w:ascii="黑体" w:eastAsia="黑体"/>
          <w:color w:val="auto"/>
          <w:sz w:val="32"/>
          <w:szCs w:val="32"/>
        </w:rPr>
      </w:pPr>
      <w:r>
        <w:rPr>
          <w:rFonts w:hint="eastAsia" w:ascii="黑体" w:eastAsia="黑体"/>
          <w:color w:val="auto"/>
          <w:sz w:val="32"/>
          <w:szCs w:val="32"/>
        </w:rPr>
        <w:t>附件5：</w:t>
      </w:r>
    </w:p>
    <w:p>
      <w:pPr>
        <w:adjustRightInd w:val="0"/>
        <w:snapToGrid w:val="0"/>
        <w:spacing w:line="560" w:lineRule="exact"/>
        <w:jc w:val="center"/>
        <w:rPr>
          <w:rFonts w:ascii="微软雅黑" w:hAnsi="微软雅黑" w:eastAsia="微软雅黑"/>
          <w:color w:val="auto"/>
          <w:sz w:val="44"/>
          <w:szCs w:val="44"/>
        </w:rPr>
      </w:pPr>
      <w:r>
        <w:rPr>
          <w:rFonts w:hint="eastAsia" w:ascii="微软雅黑" w:hAnsi="微软雅黑" w:eastAsia="微软雅黑"/>
          <w:color w:val="auto"/>
          <w:sz w:val="44"/>
          <w:szCs w:val="44"/>
        </w:rPr>
        <w:t>关于学术论文分类的说明</w:t>
      </w:r>
    </w:p>
    <w:p>
      <w:pPr>
        <w:spacing w:line="560" w:lineRule="exact"/>
        <w:ind w:firstLine="598" w:firstLineChars="200"/>
        <w:rPr>
          <w:rFonts w:ascii="黑体" w:hAnsi="黑体" w:eastAsia="黑体"/>
          <w:bCs/>
          <w:color w:val="auto"/>
          <w:sz w:val="32"/>
          <w:szCs w:val="32"/>
          <w:lang w:val="es-ES"/>
        </w:rPr>
      </w:pPr>
      <w:r>
        <w:rPr>
          <w:rFonts w:hint="eastAsia" w:ascii="黑体" w:hAnsi="黑体" w:eastAsia="黑体"/>
          <w:bCs/>
          <w:color w:val="auto"/>
          <w:sz w:val="32"/>
          <w:szCs w:val="32"/>
          <w:lang w:val="es-ES"/>
        </w:rPr>
        <w:t>一</w:t>
      </w:r>
      <w:r>
        <w:rPr>
          <w:rFonts w:ascii="黑体" w:hAnsi="黑体" w:eastAsia="黑体"/>
          <w:bCs/>
          <w:color w:val="auto"/>
          <w:sz w:val="32"/>
          <w:szCs w:val="32"/>
          <w:lang w:val="es-ES"/>
        </w:rPr>
        <w:t>、</w:t>
      </w:r>
      <w:r>
        <w:rPr>
          <w:rFonts w:hint="eastAsia" w:ascii="黑体" w:hAnsi="黑体" w:eastAsia="黑体"/>
          <w:bCs/>
          <w:color w:val="auto"/>
          <w:sz w:val="32"/>
          <w:szCs w:val="32"/>
          <w:lang w:val="es-ES"/>
        </w:rPr>
        <w:t>中科院SCI期刊论文分区说明</w:t>
      </w:r>
    </w:p>
    <w:p>
      <w:pPr>
        <w:spacing w:line="560" w:lineRule="exact"/>
        <w:ind w:firstLine="598" w:firstLineChars="200"/>
        <w:rPr>
          <w:rFonts w:ascii="仿宋_GB2312" w:eastAsia="仿宋_GB2312"/>
          <w:color w:val="auto"/>
          <w:sz w:val="32"/>
          <w:szCs w:val="32"/>
          <w:lang w:val="es-ES"/>
        </w:rPr>
      </w:pPr>
      <w:r>
        <w:rPr>
          <w:rFonts w:hint="eastAsia" w:ascii="仿宋_GB2312" w:eastAsia="仿宋_GB2312"/>
          <w:color w:val="auto"/>
          <w:sz w:val="32"/>
          <w:szCs w:val="32"/>
          <w:lang w:val="es-ES"/>
        </w:rPr>
        <w:t>目前国内高校科研院所使用最多的就是中科院分区，中科院分区有大区和小区，通常指的都是大区（小区分区往往容易导致期刊分区过高）。以</w:t>
      </w:r>
      <w:r>
        <w:rPr>
          <w:rFonts w:ascii="仿宋_GB2312" w:eastAsia="仿宋_GB2312"/>
          <w:color w:val="auto"/>
          <w:sz w:val="32"/>
          <w:szCs w:val="32"/>
          <w:lang w:val="es-ES"/>
        </w:rPr>
        <w:t>中科院分区</w:t>
      </w:r>
      <w:r>
        <w:rPr>
          <w:rFonts w:hint="eastAsia" w:ascii="仿宋_GB2312" w:eastAsia="仿宋_GB2312"/>
          <w:color w:val="auto"/>
          <w:sz w:val="32"/>
          <w:szCs w:val="32"/>
          <w:lang w:val="es-ES"/>
        </w:rPr>
        <w:t>最新升级版</w:t>
      </w:r>
      <w:r>
        <w:rPr>
          <w:rFonts w:ascii="仿宋_GB2312" w:eastAsia="仿宋_GB2312"/>
          <w:color w:val="auto"/>
          <w:sz w:val="32"/>
          <w:szCs w:val="32"/>
          <w:lang w:val="es-ES"/>
        </w:rPr>
        <w:t>为准（</w:t>
      </w:r>
      <w:r>
        <w:rPr>
          <w:rFonts w:hint="eastAsia" w:ascii="仿宋_GB2312" w:eastAsia="仿宋_GB2312"/>
          <w:color w:val="auto"/>
          <w:sz w:val="32"/>
          <w:szCs w:val="32"/>
          <w:lang w:val="es-ES"/>
        </w:rPr>
        <w:t>20</w:t>
      </w:r>
      <w:r>
        <w:rPr>
          <w:rFonts w:ascii="仿宋_GB2312" w:eastAsia="仿宋_GB2312"/>
          <w:color w:val="auto"/>
          <w:sz w:val="32"/>
          <w:szCs w:val="32"/>
          <w:lang w:val="es-ES"/>
        </w:rPr>
        <w:t>23</w:t>
      </w:r>
      <w:r>
        <w:rPr>
          <w:rFonts w:hint="eastAsia" w:ascii="仿宋_GB2312" w:eastAsia="仿宋_GB2312"/>
          <w:color w:val="auto"/>
          <w:sz w:val="32"/>
          <w:szCs w:val="32"/>
          <w:lang w:val="es-ES"/>
        </w:rPr>
        <w:t>版</w:t>
      </w:r>
      <w:r>
        <w:rPr>
          <w:rFonts w:ascii="仿宋_GB2312" w:eastAsia="仿宋_GB2312"/>
          <w:color w:val="auto"/>
          <w:sz w:val="32"/>
          <w:szCs w:val="32"/>
          <w:lang w:val="es-ES"/>
        </w:rPr>
        <w:t>）</w:t>
      </w:r>
      <w:r>
        <w:rPr>
          <w:rFonts w:hint="eastAsia" w:ascii="仿宋_GB2312" w:eastAsia="仿宋_GB2312"/>
          <w:color w:val="auto"/>
          <w:sz w:val="32"/>
          <w:szCs w:val="32"/>
          <w:lang w:val="es-ES"/>
        </w:rPr>
        <w:t>。</w:t>
      </w:r>
    </w:p>
    <w:p>
      <w:pPr>
        <w:spacing w:line="560" w:lineRule="exact"/>
        <w:ind w:firstLine="598" w:firstLineChars="200"/>
        <w:rPr>
          <w:rFonts w:ascii="仿宋_GB2312" w:eastAsia="仿宋_GB2312"/>
          <w:color w:val="auto"/>
          <w:sz w:val="32"/>
          <w:szCs w:val="32"/>
        </w:rPr>
      </w:pPr>
      <w:r>
        <w:rPr>
          <w:rFonts w:hint="eastAsia" w:ascii="仿宋_GB2312" w:eastAsia="仿宋_GB2312"/>
          <w:b/>
          <w:bCs/>
          <w:color w:val="auto"/>
          <w:sz w:val="32"/>
          <w:szCs w:val="32"/>
          <w:lang w:val="es-ES"/>
        </w:rPr>
        <w:t>中科院预警期刊查询地址：</w:t>
      </w:r>
      <w:r>
        <w:rPr>
          <w:rFonts w:hint="eastAsia" w:ascii="仿宋_GB2312" w:eastAsia="仿宋_GB2312"/>
          <w:color w:val="auto"/>
          <w:sz w:val="32"/>
          <w:szCs w:val="32"/>
          <w:lang w:val="es-ES"/>
        </w:rPr>
        <w:t>微信小程序：中科院文献情报中心分区表</w:t>
      </w:r>
      <w:r>
        <w:rPr>
          <w:rFonts w:hint="eastAsia" w:ascii="仿宋_GB2312" w:eastAsia="仿宋_GB2312"/>
          <w:color w:val="auto"/>
          <w:sz w:val="32"/>
          <w:szCs w:val="32"/>
        </w:rPr>
        <w:t>-国际期刊预警名单-</w:t>
      </w:r>
      <w:r>
        <w:rPr>
          <w:rFonts w:ascii="仿宋_GB2312" w:eastAsia="仿宋_GB2312"/>
          <w:color w:val="auto"/>
          <w:sz w:val="32"/>
          <w:szCs w:val="32"/>
        </w:rPr>
        <w:t>2024</w:t>
      </w:r>
      <w:r>
        <w:rPr>
          <w:rFonts w:hint="eastAsia" w:ascii="仿宋_GB2312" w:eastAsia="仿宋_GB2312"/>
          <w:color w:val="auto"/>
          <w:sz w:val="32"/>
          <w:szCs w:val="32"/>
        </w:rPr>
        <w:t>年预警名单。 网址</w:t>
      </w:r>
      <w:r>
        <w:rPr>
          <w:rFonts w:ascii="仿宋_GB2312" w:eastAsia="仿宋_GB2312"/>
          <w:color w:val="auto"/>
          <w:sz w:val="32"/>
          <w:szCs w:val="32"/>
        </w:rPr>
        <w:t>：</w:t>
      </w:r>
      <w:r>
        <w:rPr>
          <w:rFonts w:hint="eastAsia" w:ascii="仿宋_GB2312" w:eastAsia="仿宋_GB2312"/>
          <w:color w:val="auto"/>
          <w:sz w:val="32"/>
          <w:szCs w:val="32"/>
          <w:u w:val="single"/>
        </w:rPr>
        <w:t>https://</w:t>
      </w:r>
      <w:r>
        <w:rPr>
          <w:rFonts w:ascii="仿宋_GB2312" w:eastAsia="仿宋_GB2312"/>
          <w:color w:val="auto"/>
          <w:sz w:val="32"/>
          <w:szCs w:val="32"/>
          <w:u w:val="single"/>
        </w:rPr>
        <w:t>ewl.fenqubiao.com/#/</w:t>
      </w:r>
      <w:r>
        <w:rPr>
          <w:rFonts w:hint="eastAsia" w:ascii="仿宋_GB2312" w:eastAsia="仿宋_GB2312"/>
          <w:color w:val="auto"/>
          <w:sz w:val="32"/>
          <w:szCs w:val="32"/>
        </w:rPr>
        <w:t>。</w:t>
      </w:r>
    </w:p>
    <w:p>
      <w:pPr>
        <w:spacing w:line="560" w:lineRule="exact"/>
        <w:ind w:firstLine="598" w:firstLineChars="200"/>
        <w:rPr>
          <w:rFonts w:ascii="黑体" w:hAnsi="黑体" w:eastAsia="黑体"/>
          <w:bCs/>
          <w:color w:val="auto"/>
          <w:sz w:val="32"/>
          <w:szCs w:val="32"/>
          <w:lang w:val="es-ES"/>
        </w:rPr>
      </w:pPr>
      <w:r>
        <w:rPr>
          <w:rFonts w:hint="eastAsia" w:ascii="黑体" w:hAnsi="黑体" w:eastAsia="黑体"/>
          <w:bCs/>
          <w:color w:val="auto"/>
          <w:sz w:val="32"/>
          <w:szCs w:val="32"/>
        </w:rPr>
        <w:t>二</w:t>
      </w:r>
      <w:r>
        <w:rPr>
          <w:rFonts w:ascii="黑体" w:hAnsi="黑体" w:eastAsia="黑体"/>
          <w:bCs/>
          <w:color w:val="auto"/>
          <w:sz w:val="32"/>
          <w:szCs w:val="32"/>
        </w:rPr>
        <w:t>、</w:t>
      </w:r>
      <w:r>
        <w:rPr>
          <w:rFonts w:hint="eastAsia" w:ascii="黑体" w:hAnsi="黑体" w:eastAsia="黑体"/>
          <w:bCs/>
          <w:color w:val="auto"/>
          <w:sz w:val="32"/>
          <w:szCs w:val="32"/>
          <w:lang w:val="es-ES"/>
        </w:rPr>
        <w:t>中国计算机学会CCF推荐会议/期刊论文分类说明</w:t>
      </w:r>
    </w:p>
    <w:p>
      <w:pPr>
        <w:spacing w:line="560" w:lineRule="exact"/>
        <w:ind w:firstLine="598" w:firstLineChars="200"/>
        <w:rPr>
          <w:rFonts w:ascii="仿宋_GB2312" w:eastAsia="仿宋_GB2312"/>
          <w:color w:val="auto"/>
          <w:sz w:val="32"/>
          <w:szCs w:val="32"/>
          <w:lang w:val="es-ES"/>
        </w:rPr>
      </w:pPr>
      <w:r>
        <w:rPr>
          <w:rFonts w:hint="eastAsia" w:ascii="仿宋_GB2312" w:eastAsia="仿宋_GB2312"/>
          <w:color w:val="auto"/>
          <w:sz w:val="32"/>
          <w:szCs w:val="32"/>
          <w:lang w:val="es-ES"/>
        </w:rPr>
        <w:t>根据20</w:t>
      </w:r>
      <w:r>
        <w:rPr>
          <w:rFonts w:ascii="仿宋_GB2312" w:eastAsia="仿宋_GB2312"/>
          <w:color w:val="auto"/>
          <w:sz w:val="32"/>
          <w:szCs w:val="32"/>
          <w:lang w:val="es-ES"/>
        </w:rPr>
        <w:t>24</w:t>
      </w:r>
      <w:r>
        <w:rPr>
          <w:rFonts w:hint="eastAsia" w:ascii="仿宋_GB2312" w:eastAsia="仿宋_GB2312"/>
          <w:color w:val="auto"/>
          <w:sz w:val="32"/>
          <w:szCs w:val="32"/>
          <w:lang w:val="es-ES"/>
        </w:rPr>
        <w:t>年6月</w:t>
      </w:r>
      <w:r>
        <w:rPr>
          <w:rFonts w:ascii="仿宋_GB2312" w:eastAsia="仿宋_GB2312"/>
          <w:color w:val="auto"/>
          <w:sz w:val="32"/>
          <w:szCs w:val="32"/>
          <w:lang w:val="es-ES"/>
        </w:rPr>
        <w:t>28</w:t>
      </w:r>
      <w:r>
        <w:rPr>
          <w:rFonts w:hint="eastAsia" w:ascii="仿宋_GB2312" w:eastAsia="仿宋_GB2312"/>
          <w:color w:val="auto"/>
          <w:sz w:val="32"/>
          <w:szCs w:val="32"/>
          <w:lang w:val="es-ES"/>
        </w:rPr>
        <w:t>日计算机研究领域每个专业方向筛选出最具代表性和权威性的国际会议与国际期刊，并综合考虑会议或期刊的质量、影响力及录用难度等因素，将其划分为A、B、C三个等级。（注：会议论文指“Full paper”或“</w:t>
      </w:r>
      <w:r>
        <w:rPr>
          <w:rFonts w:hint="eastAsia" w:ascii="仿宋_GB2312" w:eastAsia="仿宋_GB2312"/>
          <w:color w:val="auto"/>
          <w:sz w:val="32"/>
          <w:szCs w:val="32"/>
        </w:rPr>
        <w:t>R</w:t>
      </w:r>
      <w:r>
        <w:rPr>
          <w:rFonts w:hint="eastAsia" w:ascii="仿宋_GB2312" w:eastAsia="仿宋_GB2312"/>
          <w:color w:val="auto"/>
          <w:sz w:val="32"/>
          <w:szCs w:val="32"/>
          <w:lang w:val="es-ES"/>
        </w:rPr>
        <w:t xml:space="preserve">egular paper”，会议上发表的Short paper, Poster, Demo paper, Technical Brief, </w:t>
      </w:r>
      <w:r>
        <w:rPr>
          <w:rFonts w:hint="eastAsia" w:ascii="仿宋_GB2312" w:eastAsia="仿宋_GB2312"/>
          <w:color w:val="auto"/>
          <w:sz w:val="32"/>
          <w:szCs w:val="32"/>
        </w:rPr>
        <w:t>S</w:t>
      </w:r>
      <w:r>
        <w:rPr>
          <w:rFonts w:hint="eastAsia" w:ascii="仿宋_GB2312" w:eastAsia="仿宋_GB2312"/>
          <w:color w:val="auto"/>
          <w:sz w:val="32"/>
          <w:szCs w:val="32"/>
          <w:lang w:val="es-ES"/>
        </w:rPr>
        <w:t>ummary等不计入。）</w:t>
      </w:r>
    </w:p>
    <w:p>
      <w:pPr>
        <w:spacing w:line="560" w:lineRule="exact"/>
        <w:ind w:firstLine="598" w:firstLineChars="200"/>
        <w:rPr>
          <w:rFonts w:ascii="仿宋_GB2312" w:eastAsia="仿宋_GB2312"/>
          <w:color w:val="auto"/>
          <w:sz w:val="32"/>
          <w:szCs w:val="32"/>
        </w:rPr>
      </w:pPr>
      <w:r>
        <w:rPr>
          <w:rFonts w:hint="eastAsia" w:ascii="仿宋_GB2312" w:eastAsia="仿宋_GB2312"/>
          <w:color w:val="auto"/>
          <w:sz w:val="32"/>
          <w:szCs w:val="32"/>
        </w:rPr>
        <w:t>推荐论文列表下载网址：</w:t>
      </w:r>
      <w:r>
        <w:rPr>
          <w:rFonts w:ascii="仿宋_GB2312" w:eastAsia="仿宋_GB2312"/>
          <w:color w:val="auto"/>
          <w:sz w:val="32"/>
          <w:szCs w:val="32"/>
        </w:rPr>
        <w:t xml:space="preserve"> </w:t>
      </w:r>
    </w:p>
    <w:p>
      <w:pPr>
        <w:spacing w:line="560" w:lineRule="exact"/>
        <w:ind w:firstLine="567" w:firstLineChars="300"/>
        <w:rPr>
          <w:rStyle w:val="8"/>
          <w:rFonts w:ascii="仿宋_GB2312" w:eastAsia="仿宋_GB2312"/>
          <w:color w:val="auto"/>
          <w:sz w:val="32"/>
          <w:szCs w:val="32"/>
        </w:rPr>
      </w:pPr>
      <w:r>
        <w:rPr>
          <w:color w:val="auto"/>
        </w:rPr>
        <w:fldChar w:fldCharType="begin"/>
      </w:r>
      <w:r>
        <w:rPr>
          <w:color w:val="auto"/>
        </w:rPr>
        <w:instrText xml:space="preserve"> HYPERLINK "https://www.ccf.org.cn/Academic_Evaluation/By_category/" </w:instrText>
      </w:r>
      <w:r>
        <w:rPr>
          <w:color w:val="auto"/>
        </w:rPr>
        <w:fldChar w:fldCharType="separate"/>
      </w:r>
      <w:r>
        <w:rPr>
          <w:rStyle w:val="8"/>
          <w:rFonts w:hint="eastAsia" w:ascii="仿宋_GB2312" w:eastAsia="仿宋_GB2312"/>
          <w:color w:val="auto"/>
          <w:sz w:val="32"/>
          <w:szCs w:val="32"/>
          <w:u w:val="single"/>
        </w:rPr>
        <w:t>https://www.ccf.org.cn/</w:t>
      </w:r>
      <w:r>
        <w:rPr>
          <w:rStyle w:val="8"/>
          <w:rFonts w:ascii="仿宋_GB2312" w:eastAsia="仿宋_GB2312"/>
          <w:color w:val="auto"/>
          <w:sz w:val="32"/>
          <w:szCs w:val="32"/>
          <w:u w:val="single"/>
        </w:rPr>
        <w:t>Academic_Evaluation/By_category/</w:t>
      </w:r>
      <w:r>
        <w:rPr>
          <w:rStyle w:val="8"/>
          <w:rFonts w:ascii="仿宋_GB2312" w:eastAsia="仿宋_GB2312"/>
          <w:color w:val="auto"/>
          <w:sz w:val="32"/>
          <w:szCs w:val="32"/>
          <w:u w:val="single"/>
        </w:rPr>
        <w:fldChar w:fldCharType="end"/>
      </w:r>
      <w:r>
        <w:rPr>
          <w:rStyle w:val="8"/>
          <w:rFonts w:hint="eastAsia" w:ascii="仿宋_GB2312" w:eastAsia="仿宋_GB2312"/>
          <w:color w:val="auto"/>
          <w:sz w:val="32"/>
          <w:szCs w:val="32"/>
        </w:rPr>
        <w:t>、</w:t>
      </w:r>
      <w:r>
        <w:rPr>
          <w:rStyle w:val="8"/>
          <w:rFonts w:hint="eastAsia" w:ascii="仿宋_GB2312" w:eastAsia="仿宋_GB2312"/>
          <w:color w:val="auto"/>
          <w:sz w:val="32"/>
          <w:szCs w:val="32"/>
          <w:u w:val="single"/>
        </w:rPr>
        <w:t>https://www.ccf.org.cn/ccftjgjxskwml/</w:t>
      </w:r>
    </w:p>
    <w:p>
      <w:pPr>
        <w:spacing w:line="560" w:lineRule="exact"/>
        <w:ind w:firstLine="598" w:firstLineChars="200"/>
        <w:rPr>
          <w:rFonts w:ascii="黑体" w:hAnsi="黑体" w:eastAsia="黑体"/>
          <w:bCs/>
          <w:color w:val="auto"/>
          <w:sz w:val="32"/>
          <w:szCs w:val="32"/>
          <w:lang w:val="es-ES"/>
        </w:rPr>
      </w:pPr>
      <w:r>
        <w:rPr>
          <w:rFonts w:hint="eastAsia" w:ascii="黑体" w:hAnsi="黑体" w:eastAsia="黑体"/>
          <w:bCs/>
          <w:color w:val="auto"/>
          <w:sz w:val="32"/>
          <w:szCs w:val="32"/>
          <w:lang w:val="es-ES"/>
        </w:rPr>
        <w:t>三</w:t>
      </w:r>
      <w:r>
        <w:rPr>
          <w:rFonts w:ascii="黑体" w:hAnsi="黑体" w:eastAsia="黑体"/>
          <w:bCs/>
          <w:color w:val="auto"/>
          <w:sz w:val="32"/>
          <w:szCs w:val="32"/>
          <w:lang w:val="es-ES"/>
        </w:rPr>
        <w:t>、</w:t>
      </w:r>
      <w:r>
        <w:rPr>
          <w:rFonts w:hint="eastAsia" w:ascii="黑体" w:hAnsi="黑体" w:eastAsia="黑体"/>
          <w:bCs/>
          <w:color w:val="auto"/>
          <w:sz w:val="32"/>
          <w:szCs w:val="32"/>
          <w:lang w:val="es-ES"/>
        </w:rPr>
        <w:t>学院学科</w:t>
      </w:r>
      <w:r>
        <w:rPr>
          <w:rFonts w:ascii="黑体" w:hAnsi="黑体" w:eastAsia="黑体"/>
          <w:bCs/>
          <w:color w:val="auto"/>
          <w:sz w:val="32"/>
          <w:szCs w:val="32"/>
          <w:lang w:val="es-ES"/>
        </w:rPr>
        <w:t>期刊目录中的重点期刊</w:t>
      </w:r>
    </w:p>
    <w:tbl>
      <w:tblPr>
        <w:tblStyle w:val="5"/>
        <w:tblW w:w="9310" w:type="dxa"/>
        <w:tblInd w:w="113" w:type="dxa"/>
        <w:tblLayout w:type="fixed"/>
        <w:tblCellMar>
          <w:top w:w="0" w:type="dxa"/>
          <w:left w:w="108" w:type="dxa"/>
          <w:bottom w:w="0" w:type="dxa"/>
          <w:right w:w="108" w:type="dxa"/>
        </w:tblCellMar>
      </w:tblPr>
      <w:tblGrid>
        <w:gridCol w:w="704"/>
        <w:gridCol w:w="3369"/>
        <w:gridCol w:w="5237"/>
      </w:tblGrid>
      <w:tr>
        <w:tblPrEx>
          <w:tblCellMar>
            <w:top w:w="0" w:type="dxa"/>
            <w:left w:w="108" w:type="dxa"/>
            <w:bottom w:w="0" w:type="dxa"/>
            <w:right w:w="108" w:type="dxa"/>
          </w:tblCellMar>
        </w:tblPrEx>
        <w:trPr>
          <w:trHeight w:val="20" w:hRule="atLeast"/>
          <w:tblHeader/>
        </w:trPr>
        <w:tc>
          <w:tcPr>
            <w:tcW w:w="70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b/>
                <w:bCs/>
                <w:color w:val="auto"/>
                <w:kern w:val="0"/>
                <w:sz w:val="24"/>
                <w:szCs w:val="22"/>
              </w:rPr>
            </w:pPr>
            <w:r>
              <w:rPr>
                <w:rFonts w:hint="eastAsia" w:ascii="宋体" w:hAnsi="宋体" w:cs="宋体"/>
                <w:b/>
                <w:bCs/>
                <w:color w:val="auto"/>
                <w:kern w:val="0"/>
                <w:sz w:val="24"/>
                <w:szCs w:val="22"/>
              </w:rPr>
              <w:t>序号</w:t>
            </w:r>
          </w:p>
        </w:tc>
        <w:tc>
          <w:tcPr>
            <w:tcW w:w="3369" w:type="dxa"/>
            <w:tcBorders>
              <w:top w:val="single" w:color="auto" w:sz="4" w:space="0"/>
              <w:left w:val="nil"/>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b/>
                <w:bCs/>
                <w:color w:val="auto"/>
                <w:kern w:val="0"/>
                <w:sz w:val="24"/>
                <w:szCs w:val="22"/>
              </w:rPr>
            </w:pPr>
            <w:r>
              <w:rPr>
                <w:rFonts w:hint="eastAsia" w:ascii="宋体" w:hAnsi="宋体" w:cs="宋体"/>
                <w:b/>
                <w:bCs/>
                <w:color w:val="auto"/>
                <w:kern w:val="0"/>
                <w:sz w:val="24"/>
                <w:szCs w:val="22"/>
              </w:rPr>
              <w:t>期刊名</w:t>
            </w:r>
          </w:p>
        </w:tc>
        <w:tc>
          <w:tcPr>
            <w:tcW w:w="5237" w:type="dxa"/>
            <w:tcBorders>
              <w:top w:val="single" w:color="auto" w:sz="4" w:space="0"/>
              <w:left w:val="nil"/>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b/>
                <w:bCs/>
                <w:color w:val="auto"/>
                <w:kern w:val="0"/>
                <w:sz w:val="24"/>
                <w:szCs w:val="22"/>
              </w:rPr>
            </w:pPr>
            <w:r>
              <w:rPr>
                <w:rFonts w:hint="eastAsia" w:ascii="宋体" w:hAnsi="宋体" w:cs="宋体"/>
                <w:b/>
                <w:bCs/>
                <w:color w:val="auto"/>
                <w:kern w:val="0"/>
                <w:sz w:val="24"/>
                <w:szCs w:val="22"/>
              </w:rPr>
              <w:t>期刊英文名</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w:t>
            </w:r>
          </w:p>
        </w:tc>
        <w:tc>
          <w:tcPr>
            <w:tcW w:w="3369" w:type="dxa"/>
            <w:tcBorders>
              <w:top w:val="nil"/>
              <w:left w:val="nil"/>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系统工程理论与实践</w:t>
            </w:r>
          </w:p>
        </w:tc>
        <w:tc>
          <w:tcPr>
            <w:tcW w:w="5237" w:type="dxa"/>
            <w:tcBorders>
              <w:top w:val="nil"/>
              <w:left w:val="nil"/>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 xml:space="preserve">System Engineering Theory and Practice </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w:t>
            </w:r>
          </w:p>
        </w:tc>
        <w:tc>
          <w:tcPr>
            <w:tcW w:w="3369" w:type="dxa"/>
            <w:tcBorders>
              <w:top w:val="nil"/>
              <w:left w:val="nil"/>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自动化学报</w:t>
            </w:r>
          </w:p>
        </w:tc>
        <w:tc>
          <w:tcPr>
            <w:tcW w:w="5237" w:type="dxa"/>
            <w:tcBorders>
              <w:top w:val="nil"/>
              <w:left w:val="nil"/>
              <w:bottom w:val="single" w:color="auto" w:sz="4" w:space="0"/>
              <w:right w:val="single" w:color="auto" w:sz="4" w:space="0"/>
            </w:tcBorders>
            <w:shd w:val="clear" w:color="auto" w:fill="FFFFFF" w:themeFill="background1"/>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ACTA AUTOMATICA SINICA</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3</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中国军事科学</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China Military Science</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4</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模式分析与机器智能</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 xml:space="preserve">IEEE Transaction on Pattern Analysis and Machine Intelligence </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5</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运筹学</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Operations Research</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6</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管理科学</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Management Science</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7</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软件学报</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Journal of Software</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8</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关于系统、人力和控制论学报</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left"/>
              <w:rPr>
                <w:rFonts w:ascii="宋体" w:hAnsi="宋体" w:cs="宋体"/>
                <w:color w:val="auto"/>
                <w:kern w:val="0"/>
                <w:sz w:val="24"/>
              </w:rPr>
            </w:pPr>
            <w:r>
              <w:rPr>
                <w:rFonts w:hint="eastAsia" w:ascii="宋体" w:hAnsi="宋体" w:cs="宋体"/>
                <w:color w:val="auto"/>
                <w:kern w:val="0"/>
                <w:sz w:val="24"/>
              </w:rPr>
              <w:t xml:space="preserve">IEEE Transactions on Systems, Man, and Cybernetics: Systems </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9</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计算机学报</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Chinese Journal of Computers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10</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物理学报</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 xml:space="preserve">Acta Physica Sinica </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11</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管理科学学报</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 xml:space="preserve">Journal of Management Sciences in China </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12</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IEEE网络会刊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IEEE-ACM transactions on networking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13</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IEEE知识与数据工程会刊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Transactions on knowledge and data engeering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14</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中国科学：信息科学</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Scientia Sinica Informationis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15</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ACM信息系统会刊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ACM transactions on information sytems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16</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运筹学数学</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Mathematics of Operations Research</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17</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控制系统学报</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 xml:space="preserve"> IEEE Transactions on Cybernetics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18</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进化计算学报</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 xml:space="preserve"> IEEE Transactions on Evolutionary Computation</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19</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ACM建模与计算机仿真汇刊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ACM Transactions on Modeling and Computer Simulation </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20</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多媒体会刊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Transaction on Multimedia</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21</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智能运输系统</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 xml:space="preserve"> IEEE Transactions on Intelligent Transportation System</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22</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IEEE计算社会系统会刊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IEEE Transcations on Computational Social Systems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23</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运输研究C</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Transportation Research Part C</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24</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国际建模与仿真学会会刊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SIMULATION</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25</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欧洲运筹学</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European Journal of Operational Research</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26</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计算机研究与发展</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Journal of Computer Research and Development</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27</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运输研究B</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Transportation Research Part B</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28</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生产运营管理</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Production and operations management</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29</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超大规模数据库</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The VLDB Journal</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30</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管理信息系统季刊</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Management Information Systems Quartely</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31</w:t>
            </w:r>
          </w:p>
        </w:tc>
        <w:tc>
          <w:tcPr>
            <w:tcW w:w="336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生产与服务运营管理</w:t>
            </w:r>
          </w:p>
        </w:tc>
        <w:tc>
          <w:tcPr>
            <w:tcW w:w="5237"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4"/>
              </w:rPr>
            </w:pPr>
            <w:r>
              <w:rPr>
                <w:rFonts w:hint="eastAsia" w:ascii="宋体" w:hAnsi="宋体" w:cs="宋体"/>
                <w:color w:val="auto"/>
                <w:kern w:val="0"/>
                <w:sz w:val="24"/>
              </w:rPr>
              <w:t>Manufacturing &amp; Service Operations Management</w:t>
            </w:r>
          </w:p>
        </w:tc>
      </w:tr>
    </w:tbl>
    <w:p>
      <w:pPr>
        <w:spacing w:line="560" w:lineRule="exact"/>
        <w:ind w:firstLine="598" w:firstLineChars="200"/>
        <w:rPr>
          <w:rFonts w:ascii="黑体" w:hAnsi="黑体" w:eastAsia="黑体"/>
          <w:bCs/>
          <w:color w:val="auto"/>
          <w:sz w:val="32"/>
          <w:szCs w:val="32"/>
          <w:lang w:val="es-ES"/>
        </w:rPr>
      </w:pPr>
      <w:r>
        <w:rPr>
          <w:rFonts w:hint="eastAsia" w:ascii="黑体" w:hAnsi="黑体" w:eastAsia="黑体"/>
          <w:bCs/>
          <w:color w:val="auto"/>
          <w:sz w:val="32"/>
          <w:szCs w:val="32"/>
          <w:lang w:val="es-ES"/>
        </w:rPr>
        <w:t>四</w:t>
      </w:r>
      <w:r>
        <w:rPr>
          <w:rFonts w:ascii="黑体" w:hAnsi="黑体" w:eastAsia="黑体"/>
          <w:bCs/>
          <w:color w:val="auto"/>
          <w:sz w:val="32"/>
          <w:szCs w:val="32"/>
          <w:lang w:val="es-ES"/>
        </w:rPr>
        <w:t>、</w:t>
      </w:r>
      <w:r>
        <w:rPr>
          <w:rFonts w:hint="eastAsia" w:ascii="黑体" w:hAnsi="黑体" w:eastAsia="黑体"/>
          <w:bCs/>
          <w:color w:val="auto"/>
          <w:sz w:val="32"/>
          <w:szCs w:val="32"/>
          <w:lang w:val="es-ES"/>
        </w:rPr>
        <w:t>学院学科</w:t>
      </w:r>
      <w:r>
        <w:rPr>
          <w:rFonts w:ascii="黑体" w:hAnsi="黑体" w:eastAsia="黑体"/>
          <w:bCs/>
          <w:color w:val="auto"/>
          <w:sz w:val="32"/>
          <w:szCs w:val="32"/>
          <w:lang w:val="es-ES"/>
        </w:rPr>
        <w:t>期刊目录中的</w:t>
      </w:r>
      <w:r>
        <w:rPr>
          <w:rFonts w:hint="eastAsia" w:ascii="黑体" w:hAnsi="黑体" w:eastAsia="黑体"/>
          <w:bCs/>
          <w:color w:val="auto"/>
          <w:sz w:val="32"/>
          <w:szCs w:val="32"/>
          <w:lang w:val="es-ES"/>
        </w:rPr>
        <w:t>推荐</w:t>
      </w:r>
      <w:r>
        <w:rPr>
          <w:rFonts w:ascii="黑体" w:hAnsi="黑体" w:eastAsia="黑体"/>
          <w:bCs/>
          <w:color w:val="auto"/>
          <w:sz w:val="32"/>
          <w:szCs w:val="32"/>
          <w:lang w:val="es-ES"/>
        </w:rPr>
        <w:t>期刊</w:t>
      </w:r>
    </w:p>
    <w:tbl>
      <w:tblPr>
        <w:tblStyle w:val="5"/>
        <w:tblW w:w="9310" w:type="dxa"/>
        <w:tblInd w:w="113" w:type="dxa"/>
        <w:tblLayout w:type="fixed"/>
        <w:tblCellMar>
          <w:top w:w="0" w:type="dxa"/>
          <w:left w:w="108" w:type="dxa"/>
          <w:bottom w:w="0" w:type="dxa"/>
          <w:right w:w="108" w:type="dxa"/>
        </w:tblCellMar>
      </w:tblPr>
      <w:tblGrid>
        <w:gridCol w:w="704"/>
        <w:gridCol w:w="3356"/>
        <w:gridCol w:w="5250"/>
      </w:tblGrid>
      <w:tr>
        <w:tblPrEx>
          <w:tblCellMar>
            <w:top w:w="0" w:type="dxa"/>
            <w:left w:w="108" w:type="dxa"/>
            <w:bottom w:w="0" w:type="dxa"/>
            <w:right w:w="108" w:type="dxa"/>
          </w:tblCellMar>
        </w:tblPrEx>
        <w:trPr>
          <w:trHeight w:val="20" w:hRule="atLeast"/>
          <w:tblHead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序号</w:t>
            </w:r>
          </w:p>
        </w:tc>
        <w:tc>
          <w:tcPr>
            <w:tcW w:w="3356"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期刊名</w:t>
            </w:r>
          </w:p>
        </w:tc>
        <w:tc>
          <w:tcPr>
            <w:tcW w:w="5250"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b/>
                <w:bCs/>
                <w:color w:val="auto"/>
                <w:kern w:val="0"/>
                <w:sz w:val="22"/>
                <w:szCs w:val="22"/>
              </w:rPr>
            </w:pPr>
            <w:r>
              <w:rPr>
                <w:rFonts w:hint="eastAsia" w:ascii="宋体" w:hAnsi="宋体" w:cs="宋体"/>
                <w:b/>
                <w:bCs/>
                <w:color w:val="auto"/>
                <w:kern w:val="0"/>
                <w:sz w:val="22"/>
                <w:szCs w:val="22"/>
              </w:rPr>
              <w:t>期刊英文名</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系统工程学报</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Journal of Systems Engineering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中国电机工程学报</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Proceedings of the CSEE</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电子学报</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Acta Electronica Sinica</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4</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图像处理汇刊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 on Image Processing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5</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运输科学</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Transportation Sciences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6</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计算机与运筹</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Computers &amp; Operations Research</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7</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计算机仿真</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Computer Simulation</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8</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模式识别与人工智能</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Pattern Recognition and Artificial Intelligence (PR&amp;AI)</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9</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欧洲信息系统期刊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European Journal of Information Systems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10</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系统工程期刊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System Engineering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11</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军事运筹与系统工程</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Military Operations Research and Systems Engineering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12</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中国图像图形学报</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Journal of Image and Graphics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13</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控制与决策</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Control and Decision</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14</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WWW-因特网和万维网信息系统</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world wide web-Internet and Web information systems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15</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IEEE移动计算会刊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mobile computing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16</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IEEE云计算会刊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cloud computing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17</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控制理论与应用</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Control theory and applications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18</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国际管理科学期刊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International Journal of Management Science</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19</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信息科学</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Information Sciences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20</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群体与进化计算</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Swarm and Evolutionary Computation</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21</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计算杂志</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Informs journal on Computing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22</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IEEE系统期刊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System Journal</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23</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军事学术</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Military Art Journal</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24</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无线通信期刊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Wireless Communications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25</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IEEE服务计算汇刊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Service Computing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26</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仿真建模实践与理论</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Simulation Modeling Practice and Theory</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27</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科学计量学</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Scientomerics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28</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模式识别</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Pattern Recognition</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29</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软件与系统建模</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Software and Systems Modeling</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30</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下一代计算机系统</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Future Generation Computer Systems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31</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运输研究E</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Transportation Research Part E</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32</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中国管理科学</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Chinese Journal of Management Science</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33</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IEEE并行和分布式系统</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distributed and parallel systems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34</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IEEE神经网络和学习系统会刊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Neural Networks and Learning Systems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35</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智能电网会刊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smart grid</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36</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计算机会刊</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IEEE Transactions on Computers</w:t>
            </w:r>
          </w:p>
        </w:tc>
      </w:tr>
      <w:tr>
        <w:tblPrEx>
          <w:tblCellMar>
            <w:top w:w="0" w:type="dxa"/>
            <w:left w:w="108" w:type="dxa"/>
            <w:bottom w:w="0" w:type="dxa"/>
            <w:right w:w="108" w:type="dxa"/>
          </w:tblCellMar>
        </w:tblPrEx>
        <w:trPr>
          <w:trHeight w:val="2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37</w:t>
            </w:r>
          </w:p>
        </w:tc>
        <w:tc>
          <w:tcPr>
            <w:tcW w:w="3356"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Omega管理科学</w:t>
            </w:r>
          </w:p>
        </w:tc>
        <w:tc>
          <w:tcPr>
            <w:tcW w:w="5250"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宋体" w:hAnsi="宋体" w:cs="宋体"/>
                <w:color w:val="auto"/>
                <w:kern w:val="0"/>
                <w:sz w:val="22"/>
                <w:szCs w:val="22"/>
              </w:rPr>
            </w:pPr>
            <w:r>
              <w:rPr>
                <w:rFonts w:hint="eastAsia" w:ascii="宋体" w:hAnsi="宋体" w:cs="宋体"/>
                <w:color w:val="auto"/>
                <w:kern w:val="0"/>
                <w:sz w:val="22"/>
                <w:szCs w:val="22"/>
              </w:rPr>
              <w:t>Omega: International Journal of Management Science</w:t>
            </w:r>
          </w:p>
        </w:tc>
      </w:tr>
    </w:tbl>
    <w:p>
      <w:pPr>
        <w:shd w:val="clear" w:color="auto" w:fill="FFFFFF" w:themeFill="background1"/>
        <w:rPr>
          <w:color w:val="auto"/>
          <w:lang w:val="es-ES"/>
        </w:rPr>
      </w:pPr>
    </w:p>
    <w:sectPr>
      <w:pgSz w:w="11907" w:h="16840"/>
      <w:pgMar w:top="1474" w:right="1474" w:bottom="1474" w:left="1474" w:header="851" w:footer="1247" w:gutter="0"/>
      <w:cols w:space="720" w:num="1"/>
      <w:titlePg/>
      <w:docGrid w:type="linesAndChars" w:linePitch="580"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92CFB7-AD22-40F3-867B-AFBF53DAE7F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8DC4BD1-BE17-409D-9200-604F2EE53C7C}"/>
  </w:font>
  <w:font w:name="仿宋_GB2312">
    <w:panose1 w:val="02010609030101010101"/>
    <w:charset w:val="86"/>
    <w:family w:val="modern"/>
    <w:pitch w:val="default"/>
    <w:sig w:usb0="00000001" w:usb1="080E0000" w:usb2="00000000" w:usb3="00000000" w:csb0="00040000" w:csb1="00000000"/>
    <w:embedRegular r:id="rId3" w:fontKey="{C17D9424-6AF7-4CF2-B11A-EDF7B0DE03E0}"/>
  </w:font>
  <w:font w:name="微软雅黑">
    <w:panose1 w:val="020B0503020204020204"/>
    <w:charset w:val="86"/>
    <w:family w:val="auto"/>
    <w:pitch w:val="default"/>
    <w:sig w:usb0="80000287" w:usb1="280F3C52" w:usb2="00000016" w:usb3="00000000" w:csb0="0004001F" w:csb1="00000000"/>
    <w:embedRegular r:id="rId4" w:fontKey="{62C0029F-4CB7-4528-BAD1-A6A54909D1B3}"/>
  </w:font>
  <w:font w:name="楷体">
    <w:panose1 w:val="02010609060101010101"/>
    <w:charset w:val="86"/>
    <w:family w:val="modern"/>
    <w:pitch w:val="default"/>
    <w:sig w:usb0="800002BF" w:usb1="38CF7CFA" w:usb2="00000016" w:usb3="00000000" w:csb0="00040001" w:csb1="00000000"/>
    <w:embedRegular r:id="rId5" w:fontKey="{B305B8AE-BEB0-40DA-B2A1-971DE3BAE0FA}"/>
  </w:font>
  <w:font w:name="华文中宋">
    <w:panose1 w:val="02010600040101010101"/>
    <w:charset w:val="86"/>
    <w:family w:val="auto"/>
    <w:pitch w:val="default"/>
    <w:sig w:usb0="00000287" w:usb1="080F0000" w:usb2="00000000" w:usb3="00000000" w:csb0="0004009F" w:csb1="DFD70000"/>
    <w:embedRegular r:id="rId6" w:fontKey="{1A05F846-8FE2-4AEF-80A7-78F389975271}"/>
  </w:font>
  <w:font w:name="仿宋">
    <w:panose1 w:val="02010609060101010101"/>
    <w:charset w:val="86"/>
    <w:family w:val="modern"/>
    <w:pitch w:val="default"/>
    <w:sig w:usb0="800002BF" w:usb1="38CF7CFA" w:usb2="00000016" w:usb3="00000000" w:csb0="00040001" w:csb1="00000000"/>
    <w:embedRegular r:id="rId7" w:fontKey="{4D0F1DFE-8066-4DA5-B99E-481FC7D0CA7A}"/>
  </w:font>
  <w:font w:name="方正小标宋_GBK">
    <w:panose1 w:val="03000509000000000000"/>
    <w:charset w:val="86"/>
    <w:family w:val="script"/>
    <w:pitch w:val="default"/>
    <w:sig w:usb0="00000001" w:usb1="080E0000" w:usb2="00000000" w:usb3="00000000" w:csb0="00040000" w:csb1="00000000"/>
    <w:embedRegular r:id="rId8" w:fontKey="{297F9AA8-CE0B-416D-8276-5402B41744DF}"/>
  </w:font>
  <w:font w:name="楷体_GB2312">
    <w:panose1 w:val="02010609030101010101"/>
    <w:charset w:val="86"/>
    <w:family w:val="modern"/>
    <w:pitch w:val="default"/>
    <w:sig w:usb0="00000001" w:usb1="080E0000" w:usb2="00000000" w:usb3="00000000" w:csb0="00040000" w:csb1="00000000"/>
    <w:embedRegular r:id="rId9" w:fontKey="{FFFB253D-9888-4892-8C0F-45EEC89B7D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jc w:val="right"/>
      <w:rPr>
        <w:rFonts w:ascii="仿宋_GB2312" w:eastAsia="仿宋_GB2312"/>
        <w:sz w:val="28"/>
        <w:szCs w:val="28"/>
      </w:rPr>
    </w:pPr>
    <w:r>
      <w:rPr>
        <w:rFonts w:hint="eastAsia" w:ascii="仿宋_GB2312" w:hAnsi="宋体"/>
        <w:sz w:val="28"/>
        <w:szCs w:val="28"/>
      </w:rPr>
      <w:t>―</w:t>
    </w:r>
    <w:r>
      <w:rPr>
        <w:rFonts w:hint="eastAsia" w:ascii="仿宋_GB2312" w:eastAsia="仿宋_GB2312"/>
        <w:sz w:val="28"/>
        <w:szCs w:val="28"/>
      </w:rPr>
      <w:fldChar w:fldCharType="begin"/>
    </w:r>
    <w:r>
      <w:rPr>
        <w:rStyle w:val="7"/>
        <w:rFonts w:hint="eastAsia" w:ascii="仿宋_GB2312" w:eastAsia="仿宋_GB2312"/>
        <w:sz w:val="28"/>
        <w:szCs w:val="28"/>
      </w:rPr>
      <w:instrText xml:space="preserve"> PAGE </w:instrText>
    </w:r>
    <w:r>
      <w:rPr>
        <w:rFonts w:hint="eastAsia" w:ascii="仿宋_GB2312" w:eastAsia="仿宋_GB2312"/>
        <w:sz w:val="28"/>
        <w:szCs w:val="28"/>
      </w:rPr>
      <w:fldChar w:fldCharType="separate"/>
    </w:r>
    <w:r>
      <w:rPr>
        <w:rStyle w:val="7"/>
        <w:rFonts w:ascii="仿宋_GB2312" w:eastAsia="仿宋_GB2312"/>
        <w:sz w:val="28"/>
        <w:szCs w:val="28"/>
      </w:rPr>
      <w:t>12</w:t>
    </w:r>
    <w:r>
      <w:rPr>
        <w:rFonts w:hint="eastAsia" w:ascii="仿宋_GB2312" w:eastAsia="仿宋_GB2312"/>
        <w:sz w:val="28"/>
        <w:szCs w:val="28"/>
      </w:rPr>
      <w:fldChar w:fldCharType="end"/>
    </w:r>
    <w:r>
      <w:rPr>
        <w:rFonts w:hint="eastAsia" w:ascii="仿宋_GB2312"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jc w:val="right"/>
      <w:rPr>
        <w:rFonts w:ascii="仿宋_GB2312" w:eastAsia="仿宋_GB2312"/>
        <w:sz w:val="28"/>
        <w:szCs w:val="28"/>
      </w:rPr>
    </w:pPr>
    <w:r>
      <w:rPr>
        <w:rFonts w:hint="eastAsia" w:ascii="仿宋_GB2312" w:hAnsi="宋体"/>
        <w:sz w:val="28"/>
        <w:szCs w:val="28"/>
      </w:rPr>
      <w:t>―</w:t>
    </w:r>
    <w:r>
      <w:rPr>
        <w:rFonts w:hint="eastAsia" w:ascii="仿宋_GB2312" w:eastAsia="仿宋_GB2312"/>
        <w:sz w:val="28"/>
        <w:szCs w:val="28"/>
      </w:rPr>
      <w:fldChar w:fldCharType="begin"/>
    </w:r>
    <w:r>
      <w:rPr>
        <w:rStyle w:val="7"/>
        <w:rFonts w:hint="eastAsia" w:ascii="仿宋_GB2312" w:eastAsia="仿宋_GB2312"/>
        <w:sz w:val="28"/>
        <w:szCs w:val="28"/>
      </w:rPr>
      <w:instrText xml:space="preserve"> PAGE </w:instrText>
    </w:r>
    <w:r>
      <w:rPr>
        <w:rFonts w:hint="eastAsia" w:ascii="仿宋_GB2312" w:eastAsia="仿宋_GB2312"/>
        <w:sz w:val="28"/>
        <w:szCs w:val="28"/>
      </w:rPr>
      <w:fldChar w:fldCharType="separate"/>
    </w:r>
    <w:r>
      <w:rPr>
        <w:rStyle w:val="7"/>
        <w:rFonts w:ascii="仿宋_GB2312" w:eastAsia="仿宋_GB2312"/>
        <w:sz w:val="28"/>
        <w:szCs w:val="28"/>
      </w:rPr>
      <w:t>20</w:t>
    </w:r>
    <w:r>
      <w:rPr>
        <w:rFonts w:hint="eastAsia" w:ascii="仿宋_GB2312" w:eastAsia="仿宋_GB2312"/>
        <w:sz w:val="28"/>
        <w:szCs w:val="28"/>
      </w:rPr>
      <w:fldChar w:fldCharType="end"/>
    </w:r>
    <w:r>
      <w:rPr>
        <w:rFonts w:hint="eastAsia" w:ascii="仿宋_GB2312" w:hAnsi="宋体"/>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jc w:val="right"/>
      <w:rPr>
        <w:rFonts w:ascii="仿宋_GB2312" w:eastAsia="仿宋_GB2312"/>
        <w:sz w:val="28"/>
        <w:szCs w:val="28"/>
      </w:rPr>
    </w:pPr>
    <w:r>
      <w:rPr>
        <w:rFonts w:hint="eastAsia" w:ascii="仿宋_GB2312" w:hAnsi="宋体"/>
        <w:sz w:val="28"/>
        <w:szCs w:val="28"/>
      </w:rPr>
      <w:t>―</w:t>
    </w:r>
    <w:r>
      <w:rPr>
        <w:rFonts w:hint="eastAsia" w:ascii="仿宋_GB2312" w:eastAsia="仿宋_GB2312"/>
        <w:sz w:val="28"/>
        <w:szCs w:val="28"/>
      </w:rPr>
      <w:fldChar w:fldCharType="begin"/>
    </w:r>
    <w:r>
      <w:rPr>
        <w:rStyle w:val="7"/>
        <w:rFonts w:hint="eastAsia" w:ascii="仿宋_GB2312" w:eastAsia="仿宋_GB2312"/>
        <w:sz w:val="28"/>
        <w:szCs w:val="28"/>
      </w:rPr>
      <w:instrText xml:space="preserve"> PAGE </w:instrText>
    </w:r>
    <w:r>
      <w:rPr>
        <w:rFonts w:hint="eastAsia" w:ascii="仿宋_GB2312" w:eastAsia="仿宋_GB2312"/>
        <w:sz w:val="28"/>
        <w:szCs w:val="28"/>
      </w:rPr>
      <w:fldChar w:fldCharType="separate"/>
    </w:r>
    <w:r>
      <w:rPr>
        <w:rStyle w:val="7"/>
        <w:rFonts w:ascii="仿宋_GB2312" w:eastAsia="仿宋_GB2312"/>
        <w:sz w:val="28"/>
        <w:szCs w:val="28"/>
      </w:rPr>
      <w:t>14</w:t>
    </w:r>
    <w:r>
      <w:rPr>
        <w:rFonts w:hint="eastAsia" w:ascii="仿宋_GB2312" w:eastAsia="仿宋_GB2312"/>
        <w:sz w:val="28"/>
        <w:szCs w:val="28"/>
      </w:rPr>
      <w:fldChar w:fldCharType="end"/>
    </w:r>
    <w:r>
      <w:rPr>
        <w:rFonts w:hint="eastAsia" w:ascii="仿宋_GB2312" w:hAnsi="宋体"/>
        <w:sz w:val="28"/>
        <w:szCs w:val="28"/>
      </w:rPr>
      <w:t>―</w:t>
    </w:r>
  </w:p>
  <w:p>
    <w:pPr>
      <w:pStyle w:val="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jc w:val="right"/>
      <w:rPr>
        <w:rFonts w:ascii="仿宋_GB2312" w:eastAsia="仿宋_GB2312"/>
        <w:sz w:val="28"/>
        <w:szCs w:val="28"/>
      </w:rPr>
    </w:pPr>
    <w:r>
      <w:rPr>
        <w:rFonts w:hint="eastAsia" w:ascii="仿宋_GB2312" w:hAnsi="宋体"/>
        <w:sz w:val="28"/>
        <w:szCs w:val="28"/>
      </w:rPr>
      <w:t>―</w:t>
    </w:r>
    <w:r>
      <w:rPr>
        <w:rFonts w:hint="eastAsia" w:ascii="仿宋_GB2312" w:eastAsia="仿宋_GB2312"/>
        <w:sz w:val="28"/>
        <w:szCs w:val="28"/>
      </w:rPr>
      <w:fldChar w:fldCharType="begin"/>
    </w:r>
    <w:r>
      <w:rPr>
        <w:rStyle w:val="7"/>
        <w:rFonts w:hint="eastAsia" w:ascii="仿宋_GB2312" w:eastAsia="仿宋_GB2312"/>
        <w:sz w:val="28"/>
        <w:szCs w:val="28"/>
      </w:rPr>
      <w:instrText xml:space="preserve"> PAGE </w:instrText>
    </w:r>
    <w:r>
      <w:rPr>
        <w:rFonts w:hint="eastAsia" w:ascii="仿宋_GB2312" w:eastAsia="仿宋_GB2312"/>
        <w:sz w:val="28"/>
        <w:szCs w:val="28"/>
      </w:rPr>
      <w:fldChar w:fldCharType="separate"/>
    </w:r>
    <w:r>
      <w:rPr>
        <w:rStyle w:val="7"/>
        <w:rFonts w:ascii="仿宋_GB2312" w:eastAsia="仿宋_GB2312"/>
        <w:sz w:val="28"/>
        <w:szCs w:val="28"/>
      </w:rPr>
      <w:t>18</w:t>
    </w:r>
    <w:r>
      <w:rPr>
        <w:rFonts w:hint="eastAsia" w:ascii="仿宋_GB2312" w:eastAsia="仿宋_GB2312"/>
        <w:sz w:val="28"/>
        <w:szCs w:val="28"/>
      </w:rPr>
      <w:fldChar w:fldCharType="end"/>
    </w:r>
    <w:r>
      <w:rPr>
        <w:rFonts w:hint="eastAsia" w:ascii="仿宋_GB2312" w:hAnsi="宋体"/>
        <w:sz w:val="28"/>
        <w:szCs w:val="28"/>
      </w:rPr>
      <w:t>―</w: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089CB"/>
    <w:multiLevelType w:val="singleLevel"/>
    <w:tmpl w:val="821089CB"/>
    <w:lvl w:ilvl="0" w:tentative="0">
      <w:start w:val="1"/>
      <w:numFmt w:val="decimal"/>
      <w:lvlText w:val="%1."/>
      <w:lvlJc w:val="left"/>
      <w:pPr>
        <w:ind w:left="425" w:hanging="425"/>
      </w:pPr>
      <w:rPr>
        <w:rFonts w:hint="default"/>
      </w:rPr>
    </w:lvl>
  </w:abstractNum>
  <w:abstractNum w:abstractNumId="1">
    <w:nsid w:val="CDD9B3FC"/>
    <w:multiLevelType w:val="singleLevel"/>
    <w:tmpl w:val="CDD9B3FC"/>
    <w:lvl w:ilvl="0" w:tentative="0">
      <w:start w:val="1"/>
      <w:numFmt w:val="chineseCounting"/>
      <w:suff w:val="nothing"/>
      <w:lvlText w:val="%1、"/>
      <w:lvlJc w:val="left"/>
      <w:pPr>
        <w:ind w:left="144"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xYzBlYjJjMDk4YjllZmYwMTA0M2YwYjhhMTYwZTQifQ=="/>
  </w:docVars>
  <w:rsids>
    <w:rsidRoot w:val="00106C2E"/>
    <w:rsid w:val="00005B7E"/>
    <w:rsid w:val="000115DA"/>
    <w:rsid w:val="0001341F"/>
    <w:rsid w:val="00027150"/>
    <w:rsid w:val="0003308B"/>
    <w:rsid w:val="00043082"/>
    <w:rsid w:val="00043E9B"/>
    <w:rsid w:val="000452CD"/>
    <w:rsid w:val="00061EB3"/>
    <w:rsid w:val="000667D8"/>
    <w:rsid w:val="00080E13"/>
    <w:rsid w:val="000A3FC7"/>
    <w:rsid w:val="000A6502"/>
    <w:rsid w:val="000B50DB"/>
    <w:rsid w:val="000D0DEC"/>
    <w:rsid w:val="000F5B51"/>
    <w:rsid w:val="000F719A"/>
    <w:rsid w:val="00106C2E"/>
    <w:rsid w:val="00130636"/>
    <w:rsid w:val="0013142F"/>
    <w:rsid w:val="00145A86"/>
    <w:rsid w:val="001547DF"/>
    <w:rsid w:val="00155910"/>
    <w:rsid w:val="00162B48"/>
    <w:rsid w:val="00174C0F"/>
    <w:rsid w:val="00176E20"/>
    <w:rsid w:val="00180EA4"/>
    <w:rsid w:val="001823FA"/>
    <w:rsid w:val="00193A3D"/>
    <w:rsid w:val="001D0300"/>
    <w:rsid w:val="001E325D"/>
    <w:rsid w:val="001F1F1E"/>
    <w:rsid w:val="001F359F"/>
    <w:rsid w:val="001F49D0"/>
    <w:rsid w:val="00200EDF"/>
    <w:rsid w:val="0020140C"/>
    <w:rsid w:val="00235555"/>
    <w:rsid w:val="002440B9"/>
    <w:rsid w:val="00244D8E"/>
    <w:rsid w:val="00254EF6"/>
    <w:rsid w:val="002739FF"/>
    <w:rsid w:val="00274525"/>
    <w:rsid w:val="002759E3"/>
    <w:rsid w:val="00287304"/>
    <w:rsid w:val="002925CC"/>
    <w:rsid w:val="002A0CBC"/>
    <w:rsid w:val="002A1362"/>
    <w:rsid w:val="002B6765"/>
    <w:rsid w:val="002C23C4"/>
    <w:rsid w:val="002D0F52"/>
    <w:rsid w:val="002D7101"/>
    <w:rsid w:val="002E73D2"/>
    <w:rsid w:val="002F47F7"/>
    <w:rsid w:val="00307159"/>
    <w:rsid w:val="00312E53"/>
    <w:rsid w:val="003167DF"/>
    <w:rsid w:val="00320516"/>
    <w:rsid w:val="0032779C"/>
    <w:rsid w:val="0033471D"/>
    <w:rsid w:val="003350ED"/>
    <w:rsid w:val="00336C20"/>
    <w:rsid w:val="00341674"/>
    <w:rsid w:val="0034314C"/>
    <w:rsid w:val="003536FB"/>
    <w:rsid w:val="00363A89"/>
    <w:rsid w:val="00367310"/>
    <w:rsid w:val="003700CE"/>
    <w:rsid w:val="0037116F"/>
    <w:rsid w:val="0037119A"/>
    <w:rsid w:val="00394814"/>
    <w:rsid w:val="003A2D44"/>
    <w:rsid w:val="003A637B"/>
    <w:rsid w:val="003B1063"/>
    <w:rsid w:val="003C34C3"/>
    <w:rsid w:val="003C4580"/>
    <w:rsid w:val="003D29EB"/>
    <w:rsid w:val="003D7795"/>
    <w:rsid w:val="003E00BD"/>
    <w:rsid w:val="003F32DE"/>
    <w:rsid w:val="003F7E9F"/>
    <w:rsid w:val="00416730"/>
    <w:rsid w:val="00440DF1"/>
    <w:rsid w:val="00441C61"/>
    <w:rsid w:val="00443B0D"/>
    <w:rsid w:val="0044462D"/>
    <w:rsid w:val="004507DF"/>
    <w:rsid w:val="00452E70"/>
    <w:rsid w:val="0045395C"/>
    <w:rsid w:val="00483FD7"/>
    <w:rsid w:val="0049017A"/>
    <w:rsid w:val="00492371"/>
    <w:rsid w:val="00492B23"/>
    <w:rsid w:val="00494D9B"/>
    <w:rsid w:val="004966E1"/>
    <w:rsid w:val="004B7046"/>
    <w:rsid w:val="004C29AC"/>
    <w:rsid w:val="004C6101"/>
    <w:rsid w:val="004D2CAB"/>
    <w:rsid w:val="004D4BDE"/>
    <w:rsid w:val="004D4C9D"/>
    <w:rsid w:val="004D7E6E"/>
    <w:rsid w:val="004F1F34"/>
    <w:rsid w:val="004F69EF"/>
    <w:rsid w:val="00500DFC"/>
    <w:rsid w:val="00501497"/>
    <w:rsid w:val="00506FF5"/>
    <w:rsid w:val="00514654"/>
    <w:rsid w:val="005523CB"/>
    <w:rsid w:val="00556305"/>
    <w:rsid w:val="00566DC3"/>
    <w:rsid w:val="00571DC9"/>
    <w:rsid w:val="005871A4"/>
    <w:rsid w:val="005946CB"/>
    <w:rsid w:val="005950FB"/>
    <w:rsid w:val="005A3245"/>
    <w:rsid w:val="005B5A1A"/>
    <w:rsid w:val="0062433A"/>
    <w:rsid w:val="00642061"/>
    <w:rsid w:val="00653275"/>
    <w:rsid w:val="006557DA"/>
    <w:rsid w:val="00656EC9"/>
    <w:rsid w:val="00681D15"/>
    <w:rsid w:val="006946A6"/>
    <w:rsid w:val="006965B3"/>
    <w:rsid w:val="00697696"/>
    <w:rsid w:val="006B225B"/>
    <w:rsid w:val="006B47AE"/>
    <w:rsid w:val="006B69F9"/>
    <w:rsid w:val="006C2CEE"/>
    <w:rsid w:val="006C65E7"/>
    <w:rsid w:val="006D2A1E"/>
    <w:rsid w:val="006E2760"/>
    <w:rsid w:val="006E651C"/>
    <w:rsid w:val="006F4CBF"/>
    <w:rsid w:val="007005E3"/>
    <w:rsid w:val="00702FD8"/>
    <w:rsid w:val="007040AA"/>
    <w:rsid w:val="007247AA"/>
    <w:rsid w:val="007268A8"/>
    <w:rsid w:val="00734FBF"/>
    <w:rsid w:val="00750BAD"/>
    <w:rsid w:val="007601B9"/>
    <w:rsid w:val="00762805"/>
    <w:rsid w:val="00770065"/>
    <w:rsid w:val="0077576D"/>
    <w:rsid w:val="007773C7"/>
    <w:rsid w:val="00782F6E"/>
    <w:rsid w:val="007A0097"/>
    <w:rsid w:val="007A154D"/>
    <w:rsid w:val="007A42D5"/>
    <w:rsid w:val="007A4340"/>
    <w:rsid w:val="007A773E"/>
    <w:rsid w:val="007B68D5"/>
    <w:rsid w:val="007F028E"/>
    <w:rsid w:val="007F0B21"/>
    <w:rsid w:val="007F1A5C"/>
    <w:rsid w:val="007F273A"/>
    <w:rsid w:val="00821EC3"/>
    <w:rsid w:val="00834F3A"/>
    <w:rsid w:val="0083687F"/>
    <w:rsid w:val="00866A55"/>
    <w:rsid w:val="008732D9"/>
    <w:rsid w:val="00881315"/>
    <w:rsid w:val="00895C8D"/>
    <w:rsid w:val="008C0658"/>
    <w:rsid w:val="008C2DA5"/>
    <w:rsid w:val="008D15C5"/>
    <w:rsid w:val="0092011B"/>
    <w:rsid w:val="00921118"/>
    <w:rsid w:val="00921E49"/>
    <w:rsid w:val="009228F3"/>
    <w:rsid w:val="009310B7"/>
    <w:rsid w:val="00942DFE"/>
    <w:rsid w:val="009459E2"/>
    <w:rsid w:val="00947FA2"/>
    <w:rsid w:val="00956FA2"/>
    <w:rsid w:val="009579E7"/>
    <w:rsid w:val="00957DE9"/>
    <w:rsid w:val="00962AE8"/>
    <w:rsid w:val="00964A7B"/>
    <w:rsid w:val="00983019"/>
    <w:rsid w:val="009906BC"/>
    <w:rsid w:val="0099761C"/>
    <w:rsid w:val="009A7957"/>
    <w:rsid w:val="009B483B"/>
    <w:rsid w:val="009D7662"/>
    <w:rsid w:val="009F082E"/>
    <w:rsid w:val="009F341F"/>
    <w:rsid w:val="00A106F5"/>
    <w:rsid w:val="00A37F89"/>
    <w:rsid w:val="00A41317"/>
    <w:rsid w:val="00A56E03"/>
    <w:rsid w:val="00A626EB"/>
    <w:rsid w:val="00A7225D"/>
    <w:rsid w:val="00AA63E6"/>
    <w:rsid w:val="00AE4281"/>
    <w:rsid w:val="00AF26E5"/>
    <w:rsid w:val="00B03F3A"/>
    <w:rsid w:val="00B12501"/>
    <w:rsid w:val="00B27F18"/>
    <w:rsid w:val="00B4429A"/>
    <w:rsid w:val="00B451DE"/>
    <w:rsid w:val="00B903B5"/>
    <w:rsid w:val="00BA516F"/>
    <w:rsid w:val="00BB1F50"/>
    <w:rsid w:val="00BC4FD1"/>
    <w:rsid w:val="00BC6E48"/>
    <w:rsid w:val="00BD3D7D"/>
    <w:rsid w:val="00BD5074"/>
    <w:rsid w:val="00BE1FB8"/>
    <w:rsid w:val="00BF1A41"/>
    <w:rsid w:val="00C0029E"/>
    <w:rsid w:val="00C02EFF"/>
    <w:rsid w:val="00C043A1"/>
    <w:rsid w:val="00C060E8"/>
    <w:rsid w:val="00C10110"/>
    <w:rsid w:val="00C313C3"/>
    <w:rsid w:val="00C3256A"/>
    <w:rsid w:val="00C362A5"/>
    <w:rsid w:val="00C52ABB"/>
    <w:rsid w:val="00C53C89"/>
    <w:rsid w:val="00C826E0"/>
    <w:rsid w:val="00C935F3"/>
    <w:rsid w:val="00C95C02"/>
    <w:rsid w:val="00CB1F18"/>
    <w:rsid w:val="00CD4EA3"/>
    <w:rsid w:val="00CD7BF0"/>
    <w:rsid w:val="00CE7A2E"/>
    <w:rsid w:val="00CF0EAE"/>
    <w:rsid w:val="00CF1B3A"/>
    <w:rsid w:val="00CF2F26"/>
    <w:rsid w:val="00D14E1C"/>
    <w:rsid w:val="00D33568"/>
    <w:rsid w:val="00D42324"/>
    <w:rsid w:val="00D51645"/>
    <w:rsid w:val="00D640CB"/>
    <w:rsid w:val="00D653D4"/>
    <w:rsid w:val="00D655BA"/>
    <w:rsid w:val="00D83BD9"/>
    <w:rsid w:val="00DE148F"/>
    <w:rsid w:val="00DE1D12"/>
    <w:rsid w:val="00DE2EA0"/>
    <w:rsid w:val="00DE54AC"/>
    <w:rsid w:val="00E06721"/>
    <w:rsid w:val="00E26534"/>
    <w:rsid w:val="00E323F9"/>
    <w:rsid w:val="00E348D5"/>
    <w:rsid w:val="00E409A9"/>
    <w:rsid w:val="00E425E7"/>
    <w:rsid w:val="00E539FC"/>
    <w:rsid w:val="00E54D02"/>
    <w:rsid w:val="00E5561A"/>
    <w:rsid w:val="00E623F6"/>
    <w:rsid w:val="00E63E8D"/>
    <w:rsid w:val="00E6498F"/>
    <w:rsid w:val="00E923D7"/>
    <w:rsid w:val="00EA106E"/>
    <w:rsid w:val="00EB132D"/>
    <w:rsid w:val="00EB13E8"/>
    <w:rsid w:val="00EB1712"/>
    <w:rsid w:val="00EB273B"/>
    <w:rsid w:val="00EC2CA7"/>
    <w:rsid w:val="00EC640B"/>
    <w:rsid w:val="00ED74E3"/>
    <w:rsid w:val="00EE03CC"/>
    <w:rsid w:val="00EE498E"/>
    <w:rsid w:val="00EF405F"/>
    <w:rsid w:val="00F03357"/>
    <w:rsid w:val="00F215AE"/>
    <w:rsid w:val="00F24921"/>
    <w:rsid w:val="00F31A8E"/>
    <w:rsid w:val="00F34574"/>
    <w:rsid w:val="00F36B8E"/>
    <w:rsid w:val="00F43803"/>
    <w:rsid w:val="00F53B1B"/>
    <w:rsid w:val="00F70D63"/>
    <w:rsid w:val="00FA21FA"/>
    <w:rsid w:val="00FB5E85"/>
    <w:rsid w:val="00FB7296"/>
    <w:rsid w:val="00FE0AB4"/>
    <w:rsid w:val="00FE0C6F"/>
    <w:rsid w:val="00FF0027"/>
    <w:rsid w:val="00FF40DE"/>
    <w:rsid w:val="00FF7920"/>
    <w:rsid w:val="01E83761"/>
    <w:rsid w:val="06293EB6"/>
    <w:rsid w:val="08B6618F"/>
    <w:rsid w:val="0A4777CA"/>
    <w:rsid w:val="0AFC0C65"/>
    <w:rsid w:val="0B244E65"/>
    <w:rsid w:val="0D577EEF"/>
    <w:rsid w:val="0D587024"/>
    <w:rsid w:val="0E0B50C9"/>
    <w:rsid w:val="11262121"/>
    <w:rsid w:val="12277C6A"/>
    <w:rsid w:val="129D2E8E"/>
    <w:rsid w:val="132C05F6"/>
    <w:rsid w:val="14742443"/>
    <w:rsid w:val="153162DB"/>
    <w:rsid w:val="172E6E31"/>
    <w:rsid w:val="17545D47"/>
    <w:rsid w:val="17F201D7"/>
    <w:rsid w:val="1831109E"/>
    <w:rsid w:val="1920391F"/>
    <w:rsid w:val="196C3EFC"/>
    <w:rsid w:val="197D09F7"/>
    <w:rsid w:val="1C2377C9"/>
    <w:rsid w:val="27CF5950"/>
    <w:rsid w:val="2B1D1F03"/>
    <w:rsid w:val="2D5570A2"/>
    <w:rsid w:val="2E8F6704"/>
    <w:rsid w:val="2F0F387C"/>
    <w:rsid w:val="2F6406C3"/>
    <w:rsid w:val="2F835584"/>
    <w:rsid w:val="31123DBE"/>
    <w:rsid w:val="33B9337F"/>
    <w:rsid w:val="33D03DEC"/>
    <w:rsid w:val="36196C71"/>
    <w:rsid w:val="39E013F6"/>
    <w:rsid w:val="3B6F0BD7"/>
    <w:rsid w:val="3E5B3585"/>
    <w:rsid w:val="41695D5B"/>
    <w:rsid w:val="424118FE"/>
    <w:rsid w:val="42B77BB8"/>
    <w:rsid w:val="48323375"/>
    <w:rsid w:val="48716330"/>
    <w:rsid w:val="4A2050F5"/>
    <w:rsid w:val="4B894CDF"/>
    <w:rsid w:val="4D323043"/>
    <w:rsid w:val="4E6C5B7E"/>
    <w:rsid w:val="504F5804"/>
    <w:rsid w:val="51BA2771"/>
    <w:rsid w:val="54B470E5"/>
    <w:rsid w:val="559579B0"/>
    <w:rsid w:val="59CF7A84"/>
    <w:rsid w:val="5D513C17"/>
    <w:rsid w:val="5DFF01C4"/>
    <w:rsid w:val="60A669ED"/>
    <w:rsid w:val="6290576C"/>
    <w:rsid w:val="666420F7"/>
    <w:rsid w:val="67306E44"/>
    <w:rsid w:val="67A705FD"/>
    <w:rsid w:val="682B31AD"/>
    <w:rsid w:val="69531767"/>
    <w:rsid w:val="6973595F"/>
    <w:rsid w:val="69F06D97"/>
    <w:rsid w:val="6A2626B9"/>
    <w:rsid w:val="6AB372FC"/>
    <w:rsid w:val="6F8D7A77"/>
    <w:rsid w:val="70AF1BAB"/>
    <w:rsid w:val="75D0708A"/>
    <w:rsid w:val="75D96826"/>
    <w:rsid w:val="774427F0"/>
    <w:rsid w:val="790C52C5"/>
    <w:rsid w:val="7E2A0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ind w:firstLine="656" w:firstLineChars="200"/>
    </w:pPr>
    <w:rPr>
      <w:rFonts w:ascii="仿宋_GB2312" w:hAnsi="宋体" w:eastAsia="仿宋_GB2312" w:cstheme="minorBidi"/>
      <w:color w:val="000000"/>
      <w:spacing w:val="4"/>
      <w:sz w:val="32"/>
      <w:szCs w:val="32"/>
    </w:rPr>
  </w:style>
  <w:style w:type="paragraph" w:styleId="3">
    <w:name w:val="footer"/>
    <w:basedOn w:val="1"/>
    <w:link w:val="1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basedOn w:val="6"/>
    <w:unhideWhenUsed/>
    <w:qFormat/>
    <w:uiPriority w:val="0"/>
    <w:rPr>
      <w:color w:val="000000"/>
      <w:u w:val="none"/>
    </w:rPr>
  </w:style>
  <w:style w:type="character" w:styleId="9">
    <w:name w:val="annotation reference"/>
    <w:qFormat/>
    <w:uiPriority w:val="99"/>
    <w:rPr>
      <w:sz w:val="21"/>
      <w:szCs w:val="21"/>
    </w:rPr>
  </w:style>
  <w:style w:type="character" w:customStyle="1" w:styleId="10">
    <w:name w:val="正文文本缩进 Char"/>
    <w:link w:val="2"/>
    <w:qFormat/>
    <w:uiPriority w:val="0"/>
    <w:rPr>
      <w:rFonts w:ascii="仿宋_GB2312" w:hAnsi="宋体" w:eastAsia="仿宋_GB2312"/>
      <w:color w:val="000000"/>
      <w:spacing w:val="4"/>
      <w:sz w:val="32"/>
      <w:szCs w:val="32"/>
    </w:rPr>
  </w:style>
  <w:style w:type="character" w:customStyle="1" w:styleId="11">
    <w:name w:val="页脚 Char"/>
    <w:link w:val="3"/>
    <w:qFormat/>
    <w:uiPriority w:val="0"/>
    <w:rPr>
      <w:sz w:val="18"/>
      <w:szCs w:val="18"/>
    </w:rPr>
  </w:style>
  <w:style w:type="character" w:customStyle="1" w:styleId="12">
    <w:name w:val="页脚 Char1"/>
    <w:basedOn w:val="6"/>
    <w:semiHidden/>
    <w:qFormat/>
    <w:uiPriority w:val="99"/>
    <w:rPr>
      <w:rFonts w:ascii="Times New Roman" w:hAnsi="Times New Roman" w:eastAsia="宋体" w:cs="Times New Roman"/>
      <w:sz w:val="18"/>
      <w:szCs w:val="18"/>
    </w:rPr>
  </w:style>
  <w:style w:type="character" w:customStyle="1" w:styleId="13">
    <w:name w:val="正文文本缩进 Char1"/>
    <w:basedOn w:val="6"/>
    <w:semiHidden/>
    <w:qFormat/>
    <w:uiPriority w:val="99"/>
    <w:rPr>
      <w:rFonts w:ascii="Times New Roman" w:hAnsi="Times New Roman" w:eastAsia="宋体" w:cs="Times New Roman"/>
      <w:szCs w:val="24"/>
    </w:rPr>
  </w:style>
  <w:style w:type="paragraph" w:customStyle="1" w:styleId="14">
    <w:name w:val="p0"/>
    <w:basedOn w:val="1"/>
    <w:qFormat/>
    <w:uiPriority w:val="0"/>
    <w:pPr>
      <w:widowControl/>
      <w:spacing w:before="100" w:beforeAutospacing="1" w:after="100" w:afterAutospacing="1"/>
      <w:jc w:val="left"/>
    </w:pPr>
    <w:rPr>
      <w:rFonts w:ascii="宋体" w:hAnsi="宋体" w:cs="宋体"/>
      <w:color w:val="000000"/>
      <w:kern w:val="0"/>
      <w:sz w:val="24"/>
    </w:rPr>
  </w:style>
  <w:style w:type="character" w:customStyle="1" w:styleId="15">
    <w:name w:val="页眉 Char"/>
    <w:basedOn w:val="6"/>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8330</Words>
  <Characters>14310</Characters>
  <Lines>113</Lines>
  <Paragraphs>31</Paragraphs>
  <TotalTime>230</TotalTime>
  <ScaleCrop>false</ScaleCrop>
  <LinksUpToDate>false</LinksUpToDate>
  <CharactersWithSpaces>15206</CharactersWithSpaces>
  <Application>WPS Office_11.1.0.15313_F1E327BC-269C-435d-A152-05C5408002CA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2022-09-29T09:10:00Z</dcterms:created>
  <dc:creator>徐矿珊</dc:creator>
  <cp:lastModifiedBy>徐矿珊</cp:lastModifiedBy>
  <cp:lastPrinted>2024-09-13T08:09:00Z</cp:lastPrinted>
  <dcterms:modified xsi:type="dcterms:W3CDTF">2025-01-18T01:50:36Z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2052-11.1.0.15313</vt:lpwstr>
  </property>
  <property fmtid="{D5CDD505-2E9C-101B-9397-08002B2CF9AE}" pid="3" name="ICV">
    <vt:lpwstr>4B826BDCF9464380AD76A2E4FA0B441B_13</vt:lpwstr>
  </property>
</Properties>
</file>