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1219">
      <w:pPr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6242971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关于“对口支援河北大学</w:t>
      </w:r>
    </w:p>
    <w:p w14:paraId="402EE5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定向师资博士研究生专项计划”的说明</w:t>
      </w:r>
    </w:p>
    <w:p w14:paraId="7B6A47E5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8A29005"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为做好部属院校与部省合建高校对口合作工作，根据教育部202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年博士研究生招生计划对口支援部省合建高校专项计划相关要求，现将相关工作说明如下。</w:t>
      </w:r>
    </w:p>
    <w:p w14:paraId="65104490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招生专业</w:t>
      </w:r>
    </w:p>
    <w:tbl>
      <w:tblPr>
        <w:tblStyle w:val="6"/>
        <w:tblpPr w:leftFromText="180" w:rightFromText="180" w:vertAnchor="text" w:horzAnchor="page" w:tblpXSpec="center" w:tblpY="319"/>
        <w:tblOverlap w:val="never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595"/>
        <w:gridCol w:w="2396"/>
      </w:tblGrid>
      <w:tr w14:paraId="1AAA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671" w:type="dxa"/>
          </w:tcPr>
          <w:p w14:paraId="73360B81">
            <w:pPr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专业代码</w:t>
            </w:r>
          </w:p>
        </w:tc>
        <w:tc>
          <w:tcPr>
            <w:tcW w:w="3595" w:type="dxa"/>
          </w:tcPr>
          <w:p w14:paraId="118DAB0B">
            <w:pPr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专业名称</w:t>
            </w:r>
          </w:p>
        </w:tc>
        <w:tc>
          <w:tcPr>
            <w:tcW w:w="2396" w:type="dxa"/>
          </w:tcPr>
          <w:p w14:paraId="5EE55950">
            <w:pPr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招生计划</w:t>
            </w:r>
          </w:p>
        </w:tc>
      </w:tr>
      <w:tr w14:paraId="27AB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71" w:type="dxa"/>
            <w:vAlign w:val="center"/>
          </w:tcPr>
          <w:p w14:paraId="72FFB73A">
            <w:pPr>
              <w:jc w:val="center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100102</w:t>
            </w:r>
          </w:p>
        </w:tc>
        <w:tc>
          <w:tcPr>
            <w:tcW w:w="3595" w:type="dxa"/>
            <w:vAlign w:val="center"/>
          </w:tcPr>
          <w:p w14:paraId="7D507E1D">
            <w:pPr>
              <w:jc w:val="center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免疫学</w:t>
            </w:r>
          </w:p>
          <w:p w14:paraId="0FF96DAF">
            <w:pPr>
              <w:jc w:val="center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E41FFCE">
            <w:pPr>
              <w:jc w:val="center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557AA7E8">
            <w:pPr>
              <w:jc w:val="center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工商管理学</w:t>
            </w:r>
          </w:p>
        </w:tc>
        <w:tc>
          <w:tcPr>
            <w:tcW w:w="2396" w:type="dxa"/>
            <w:vAlign w:val="center"/>
          </w:tcPr>
          <w:p w14:paraId="257E2583">
            <w:pPr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</w:t>
            </w:r>
          </w:p>
        </w:tc>
      </w:tr>
      <w:tr w14:paraId="37EB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shd w:val="clear" w:color="auto" w:fill="auto"/>
            <w:vAlign w:val="center"/>
          </w:tcPr>
          <w:p w14:paraId="270B867D">
            <w:pPr>
              <w:jc w:val="center"/>
              <w:rPr>
                <w:rFonts w:hint="default" w:ascii="华文楷体" w:hAnsi="华文楷体" w:eastAsia="华文楷体" w:cs="华文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100205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0BFA9BD6">
            <w:pPr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精神病与精神卫生学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173569D">
            <w:pPr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</w:t>
            </w:r>
          </w:p>
        </w:tc>
      </w:tr>
      <w:tr w14:paraId="0DA3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vAlign w:val="center"/>
          </w:tcPr>
          <w:p w14:paraId="14FC1F8E">
            <w:pPr>
              <w:jc w:val="center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120201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60962DAC">
            <w:pPr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会计学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25CF94B">
            <w:pPr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</w:t>
            </w:r>
          </w:p>
        </w:tc>
      </w:tr>
    </w:tbl>
    <w:p w14:paraId="0FE59418">
      <w:pPr>
        <w:numPr>
          <w:numId w:val="0"/>
        </w:numPr>
        <w:rPr>
          <w:rFonts w:ascii="黑体" w:hAnsi="黑体" w:eastAsia="黑体" w:cs="黑体"/>
          <w:sz w:val="32"/>
          <w:szCs w:val="32"/>
        </w:rPr>
      </w:pPr>
    </w:p>
    <w:p w14:paraId="43146E19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报名办法</w:t>
      </w:r>
      <w:bookmarkStart w:id="0" w:name="_GoBack"/>
      <w:bookmarkEnd w:id="0"/>
    </w:p>
    <w:p w14:paraId="649062CF"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lightGray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按照武汉大学招收攻读博士学位研究生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专项计划等相关通知要求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完成报名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 w14:paraId="20C5FA15"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有意报考“对口支援河北大学定向师资博士研究生专项计划”的考生，请先行与河北大学联系（联系人：孔老师，电话：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0312-5079752</w:t>
      </w:r>
      <w:r>
        <w:rPr>
          <w:rFonts w:hint="eastAsia" w:ascii="华文仿宋" w:hAnsi="华文仿宋" w:eastAsia="华文仿宋" w:cs="华文仿宋"/>
          <w:sz w:val="32"/>
          <w:szCs w:val="32"/>
        </w:rPr>
        <w:t>），在充分了解定向培养的具体条件和政策的基础上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报名。</w:t>
      </w:r>
      <w:r>
        <w:rPr>
          <w:rFonts w:hint="eastAsia" w:ascii="华文仿宋" w:hAnsi="华文仿宋" w:eastAsia="华文仿宋" w:cs="华文仿宋"/>
          <w:sz w:val="32"/>
          <w:szCs w:val="32"/>
        </w:rPr>
        <w:t>“对口支援博士师资专项计划”不占用院系原有招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指标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5C0BB34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三、选拔录取及相关待遇</w:t>
      </w:r>
    </w:p>
    <w:p w14:paraId="36A2FE36">
      <w:pPr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1.报考该计划的考生通过博士生招生考核办法录取后，须与河北大学及我校签订定向就业协议。</w:t>
      </w:r>
    </w:p>
    <w:p w14:paraId="4CA00135">
      <w:pPr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2.定向学生在读期间学费及有关费用自理。正常学制在读期内河北大学按每月1500元向定向学生发放生活补贴（税前，每年发放10个月）。</w:t>
      </w:r>
    </w:p>
    <w:p w14:paraId="2FF75548"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3.定向学生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毕业</w:t>
      </w:r>
      <w:r>
        <w:rPr>
          <w:rFonts w:hint="eastAsia" w:ascii="华文仿宋" w:hAnsi="华文仿宋" w:eastAsia="华文仿宋" w:cs="华文仿宋"/>
          <w:sz w:val="32"/>
          <w:szCs w:val="32"/>
        </w:rPr>
        <w:t>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满足河北大学人才引进、工作人员招聘相关条件，可接收至河北大学工作，且服务年限不少于8年。</w:t>
      </w:r>
    </w:p>
    <w:p w14:paraId="4CFF29F2">
      <w:p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四、河北大学基本情况</w:t>
      </w:r>
    </w:p>
    <w:p w14:paraId="62B39697">
      <w:pPr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河北大学是教育部与河北省人民政府“部省合建”高校，河北省重点支持的国家一流大学建设一层次高校。</w:t>
      </w:r>
    </w:p>
    <w:p w14:paraId="33A73117">
      <w:pPr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河北大学1921年</w:t>
      </w:r>
      <w:r>
        <w:rPr>
          <w:rFonts w:hint="eastAsia" w:ascii="华文仿宋" w:hAnsi="华文仿宋" w:eastAsia="华文仿宋" w:cs="华文仿宋"/>
          <w:sz w:val="32"/>
          <w:szCs w:val="32"/>
        </w:rPr>
        <w:t>始建于</w:t>
      </w:r>
      <w:r>
        <w:rPr>
          <w:rFonts w:ascii="华文仿宋" w:hAnsi="华文仿宋" w:eastAsia="华文仿宋" w:cs="华文仿宋"/>
          <w:sz w:val="32"/>
          <w:szCs w:val="32"/>
        </w:rPr>
        <w:t>天津，初名天津工商大学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其后学校历经天津工商学院、私立津沽大学、国立津沽大学、天津师范学院、天津师范大学不同时期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ascii="华文仿宋" w:hAnsi="华文仿宋" w:eastAsia="华文仿宋" w:cs="华文仿宋"/>
          <w:sz w:val="32"/>
          <w:szCs w:val="32"/>
        </w:rPr>
        <w:t>1960年正式定名河北大学，1970年迁至历史文化名城——保定。河北大学地处京津冀协同发展核心圈，距离雄安新区只有20公里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ascii="华文仿宋" w:hAnsi="华文仿宋" w:eastAsia="华文仿宋" w:cs="华文仿宋"/>
          <w:sz w:val="32"/>
          <w:szCs w:val="32"/>
        </w:rPr>
        <w:t>区位优势得天独厚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54AEC92C">
      <w:pPr>
        <w:pStyle w:val="4"/>
        <w:spacing w:before="0" w:beforeAutospacing="0" w:after="0" w:afterAutospacing="0" w:line="480" w:lineRule="auto"/>
        <w:ind w:firstLine="48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学校学科门类齐全，分布在哲学、经济学、法学、教育学、文学、历史学、理学、工学、农学、医学、管理学、艺术学12大门类。设有87个本科专业，1个国家重点（培育）学科，18个一级学科博士学位授权点，2个博士专业学位授权点，44个一级学科硕士学位授权点，38个硕士专业学位授权点，13个博士后科研流动站，1个博士后科研工作站。学校具备培养学士、硕士和博士的完整教育体系，现有本科生28556人，博士、硕士研究生12945人。</w:t>
      </w:r>
    </w:p>
    <w:p w14:paraId="6D01E88A">
      <w:pPr>
        <w:pStyle w:val="4"/>
        <w:spacing w:before="0" w:beforeAutospacing="0" w:after="0" w:afterAutospacing="0" w:line="480" w:lineRule="auto"/>
        <w:ind w:firstLine="48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学校坚持人才强校，实施“坤舆学者”支持计划。现有教职员工34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09</w:t>
      </w:r>
      <w:r>
        <w:rPr>
          <w:rFonts w:hint="eastAsia" w:ascii="华文仿宋" w:hAnsi="华文仿宋" w:eastAsia="华文仿宋" w:cs="华文仿宋"/>
          <w:sz w:val="32"/>
          <w:szCs w:val="32"/>
        </w:rPr>
        <w:t>人；拥有两院院士、国家杰青，“万人计划”、国家“百千万人才工程”人选、国家有突出贡献中青年专家、国务院特殊津贴专家等国家级优秀人才5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人次，燕赵学者、省管优秀专家等省部级以上高层次人才255人次。</w:t>
      </w:r>
    </w:p>
    <w:p w14:paraId="54284AC0">
      <w:pPr>
        <w:pStyle w:val="4"/>
        <w:spacing w:before="0" w:beforeAutospacing="0" w:after="0" w:afterAutospacing="0" w:line="48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学校建有全国重点实验室1个，国家地方联合工程实验室（中心）3个，教育部重点实验室1个，教育部工程研究中心2个，教育部人文社科重点研究基地1个。同时拥有河北省重点实验室、工程中心、基础学科研究中心33个，河北省人文社科重点研究基地（中心、智库）29个，河北省“2011”协同创新中心、省部共建协同创新中心5个。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3D07"/>
    <w:multiLevelType w:val="singleLevel"/>
    <w:tmpl w:val="930A3D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D1BCC"/>
    <w:rsid w:val="00030D1F"/>
    <w:rsid w:val="00056B1D"/>
    <w:rsid w:val="000715A6"/>
    <w:rsid w:val="0011388F"/>
    <w:rsid w:val="00166F06"/>
    <w:rsid w:val="002351D4"/>
    <w:rsid w:val="002430D3"/>
    <w:rsid w:val="002A241E"/>
    <w:rsid w:val="002E082B"/>
    <w:rsid w:val="0032295A"/>
    <w:rsid w:val="00420094"/>
    <w:rsid w:val="004A05B1"/>
    <w:rsid w:val="005B5CBC"/>
    <w:rsid w:val="005F718A"/>
    <w:rsid w:val="0064422A"/>
    <w:rsid w:val="006462B8"/>
    <w:rsid w:val="006D2823"/>
    <w:rsid w:val="00765978"/>
    <w:rsid w:val="007F05B5"/>
    <w:rsid w:val="008C0A02"/>
    <w:rsid w:val="008D347D"/>
    <w:rsid w:val="008E3FEE"/>
    <w:rsid w:val="009159CA"/>
    <w:rsid w:val="00A72765"/>
    <w:rsid w:val="00B63F8E"/>
    <w:rsid w:val="00BB05E5"/>
    <w:rsid w:val="00BB7A94"/>
    <w:rsid w:val="00BD1BA0"/>
    <w:rsid w:val="00BF175E"/>
    <w:rsid w:val="00C10A9E"/>
    <w:rsid w:val="00C9756F"/>
    <w:rsid w:val="00CA6080"/>
    <w:rsid w:val="00CB313B"/>
    <w:rsid w:val="00D87AA4"/>
    <w:rsid w:val="00DA7C4C"/>
    <w:rsid w:val="00E66144"/>
    <w:rsid w:val="00E85968"/>
    <w:rsid w:val="00ED6BD9"/>
    <w:rsid w:val="00EF4169"/>
    <w:rsid w:val="00F03DC9"/>
    <w:rsid w:val="00FE530F"/>
    <w:rsid w:val="02E86DF4"/>
    <w:rsid w:val="04864CF6"/>
    <w:rsid w:val="05FD4495"/>
    <w:rsid w:val="1B8D1BCC"/>
    <w:rsid w:val="1BC714F8"/>
    <w:rsid w:val="214E70B1"/>
    <w:rsid w:val="2BEB1309"/>
    <w:rsid w:val="2D512D89"/>
    <w:rsid w:val="3EC70254"/>
    <w:rsid w:val="40D20CCC"/>
    <w:rsid w:val="4A665F39"/>
    <w:rsid w:val="591E4486"/>
    <w:rsid w:val="5ED8057B"/>
    <w:rsid w:val="5F0C4909"/>
    <w:rsid w:val="61D753D3"/>
    <w:rsid w:val="78C00589"/>
    <w:rsid w:val="7C5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character" w:customStyle="1" w:styleId="9">
    <w:name w:val="页眉 Char"/>
    <w:basedOn w:val="7"/>
    <w:link w:val="3"/>
    <w:qFormat/>
    <w:uiPriority w:val="0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1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E2D8-BB52-4BE7-8FD3-46456B9D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1171</Characters>
  <Lines>10</Lines>
  <Paragraphs>2</Paragraphs>
  <TotalTime>3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2024-03-19T07:28:00Z</dcterms:created>
  <dc:creator>宋</dc:creator>
  <cp:lastModifiedBy>00300537</cp:lastModifiedBy>
  <dcterms:modified xsi:type="dcterms:W3CDTF">2026-05-14T00:33:49Z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3B0ECC6CFA614C7AB590380E01DD0B1E_13</vt:lpwstr>
  </property>
  <property fmtid="{D5CDD505-2E9C-101B-9397-08002B2CF9AE}" pid="4" name="KSOTemplateDocerSaveRecord">
    <vt:lpwstr>eyJoZGlkIjoiNTUzNzI0ODMyMmM2ZGJlMGEyY2I0YTk2MWY1Y2M0OTIiLCJ1c2VySWQiOiIxNjc5Nzc5NTU5In0=</vt:lpwstr>
  </property>
</Properties>
</file>