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9" w:rsidRDefault="001F6FAA">
      <w:pPr>
        <w:widowControl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  <w:lang w:bidi="ar"/>
        </w:rPr>
        <w:t>福建中医药大学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  <w:lang w:bidi="ar"/>
        </w:rPr>
        <w:t xml:space="preserve"> 2024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  <w:lang w:bidi="ar"/>
        </w:rPr>
        <w:t>年中医学院中医骨伤科学专业学术型博士研究生入学</w:t>
      </w:r>
      <w:r w:rsidR="00EC0AA1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  <w:lang w:bidi="ar"/>
        </w:rPr>
        <w:t>复试方案及实施细则</w:t>
      </w:r>
      <w:bookmarkStart w:id="0" w:name="_GoBack"/>
      <w:bookmarkEnd w:id="0"/>
    </w:p>
    <w:p w:rsidR="00060989" w:rsidRDefault="001F6FAA">
      <w:pPr>
        <w:widowControl/>
        <w:jc w:val="left"/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eastAsia="䅂䍄䕅⯋컌" w:hAnsi="䅂䍄䕅⯋컌" w:cs="䅂䍄䕅⯋컌"/>
          <w:b/>
          <w:bCs/>
          <w:color w:val="000000"/>
          <w:kern w:val="0"/>
          <w:sz w:val="27"/>
          <w:szCs w:val="27"/>
          <w:lang w:bidi="ar"/>
        </w:rPr>
        <w:t>考核</w:t>
      </w:r>
      <w:r>
        <w:rPr>
          <w:rFonts w:ascii="䅂䍄䕅⯋컌" w:eastAsia="䅂䍄䕅⯋컌" w:hAnsi="䅂䍄䕅⯋컌" w:cs="䅂䍄䕅⯋컌" w:hint="eastAsia"/>
          <w:b/>
          <w:bCs/>
          <w:color w:val="000000"/>
          <w:kern w:val="0"/>
          <w:sz w:val="27"/>
          <w:szCs w:val="27"/>
          <w:lang w:bidi="ar"/>
        </w:rPr>
        <w:t>内容及考核方式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 w:rsidR="00060989" w:rsidRDefault="001F6FAA">
      <w:pPr>
        <w:widowControl/>
        <w:jc w:val="left"/>
        <w:rPr>
          <w:rFonts w:ascii="宋体" w:eastAsia="宋体" w:hAnsi="宋体" w:cs="䅂䍄䕅⯋컌"/>
          <w:color w:val="000000"/>
          <w:kern w:val="0"/>
          <w:sz w:val="27"/>
          <w:szCs w:val="27"/>
          <w:lang w:bidi="ar"/>
        </w:rPr>
      </w:pP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1.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专业课考核：采用</w:t>
      </w:r>
      <w:r>
        <w:rPr>
          <w:rFonts w:ascii="䅂䍄䕅⯋컌" w:eastAsia="䅂䍄䕅⯋컌" w:hAnsi="䅂䍄䕅⯋컌" w:cs="䅂䍄䕅⯋컌" w:hint="eastAsia"/>
          <w:color w:val="000000"/>
          <w:kern w:val="0"/>
          <w:sz w:val="27"/>
          <w:szCs w:val="27"/>
          <w:lang w:bidi="ar"/>
        </w:rPr>
        <w:t>集中笔试形式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，笔试科目名称：中医骨伤科学。</w:t>
      </w:r>
    </w:p>
    <w:p w:rsidR="00060989" w:rsidRDefault="001F6FAA">
      <w:pPr>
        <w:widowControl/>
        <w:jc w:val="left"/>
        <w:rPr>
          <w:rFonts w:asciiTheme="majorEastAsia" w:eastAsiaTheme="majorEastAsia" w:hAnsi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2.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外语听说水平测试：采用面试形式，由外语测试考官提出问题，考生回答。</w:t>
      </w:r>
    </w:p>
    <w:p w:rsidR="00060989" w:rsidRDefault="001F6FAA">
      <w:pPr>
        <w:widowControl/>
        <w:jc w:val="left"/>
        <w:rPr>
          <w:rFonts w:ascii="宋体" w:eastAsia="宋体" w:hAnsi="宋体" w:cs="䅂䍄䕅⯋컌"/>
          <w:color w:val="000000"/>
          <w:kern w:val="0"/>
          <w:sz w:val="27"/>
          <w:szCs w:val="27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3.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综合面试：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采用面试形式，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由复试考核小组成员提出问题，考生回答。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4.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每个考生的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外语听说水平测试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及综合面试总时间一般不少于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20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分钟。</w:t>
      </w:r>
    </w:p>
    <w:p w:rsidR="00060989" w:rsidRDefault="001F6FAA">
      <w:pPr>
        <w:widowControl/>
        <w:jc w:val="left"/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eastAsia="䅂䍄䕅⯋컌" w:hAnsi="䅂䍄䕅⯋컌" w:cs="䅂䍄䕅⯋컌" w:hint="eastAsia"/>
          <w:b/>
          <w:bCs/>
          <w:color w:val="000000"/>
          <w:kern w:val="0"/>
          <w:sz w:val="27"/>
          <w:szCs w:val="27"/>
          <w:lang w:bidi="ar"/>
        </w:rPr>
        <w:t>评分标准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 w:rsidR="00060989" w:rsidRDefault="001F6FAA">
      <w:pPr>
        <w:widowControl/>
        <w:jc w:val="left"/>
        <w:rPr>
          <w:rFonts w:asciiTheme="majorEastAsia" w:eastAsiaTheme="majorEastAsia" w:hAnsi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1.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专业课考核：满分为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100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分，由专人阅卷，专人复核。</w:t>
      </w:r>
    </w:p>
    <w:p w:rsidR="00060989" w:rsidRDefault="001F6FAA">
      <w:pPr>
        <w:widowControl/>
        <w:jc w:val="left"/>
        <w:rPr>
          <w:rFonts w:asciiTheme="majorEastAsia" w:eastAsiaTheme="majorEastAsia" w:hAnsi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2.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外语听说水平测试：满分为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100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分，由英语考官对考生逐一打分，计算算术平均值为测试成绩。</w:t>
      </w:r>
    </w:p>
    <w:p w:rsidR="00060989" w:rsidRDefault="001F6FAA">
      <w:pPr>
        <w:widowControl/>
        <w:jc w:val="left"/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3.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综合面试：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满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分为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100</w:t>
      </w:r>
      <w:r>
        <w:rPr>
          <w:rFonts w:ascii="宋体" w:eastAsia="宋体" w:hAnsi="宋体" w:cs="䅂䍄䕅⯋컌" w:hint="eastAsia"/>
          <w:color w:val="000000"/>
          <w:kern w:val="0"/>
          <w:sz w:val="27"/>
          <w:szCs w:val="27"/>
          <w:lang w:bidi="ar"/>
        </w:rPr>
        <w:t>分，由考核小组成员对考生逐一打分，计算算术平均值为面试成绩。</w:t>
      </w:r>
    </w:p>
    <w:p w:rsidR="00060989" w:rsidRDefault="001F6FAA">
      <w:pPr>
        <w:widowControl/>
        <w:jc w:val="left"/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eastAsia="䅂䍄䕅⯋컌" w:hAnsi="䅂䍄䕅⯋컌" w:cs="䅂䍄䕅⯋컌"/>
          <w:b/>
          <w:bCs/>
          <w:color w:val="000000"/>
          <w:kern w:val="0"/>
          <w:sz w:val="27"/>
          <w:szCs w:val="27"/>
          <w:lang w:bidi="ar"/>
        </w:rPr>
        <w:t>考博总成绩计算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>]</w:t>
      </w:r>
      <w:r>
        <w:rPr>
          <w:rFonts w:ascii="䅂䍄䕅⯋컌" w:eastAsia="䅂䍄䕅⯋컌" w:hAnsi="䅂䍄䕅⯋컌" w:cs="䅂䍄䕅⯋컌"/>
          <w:b/>
          <w:bCs/>
          <w:color w:val="000000"/>
          <w:kern w:val="0"/>
          <w:sz w:val="27"/>
          <w:szCs w:val="27"/>
          <w:lang w:bidi="ar"/>
        </w:rPr>
        <w:t>：</w:t>
      </w:r>
    </w:p>
    <w:p w:rsidR="00060989" w:rsidRDefault="001F6FAA">
      <w:pPr>
        <w:widowControl/>
        <w:ind w:firstLineChars="200" w:firstLine="540"/>
        <w:jc w:val="left"/>
        <w:rPr>
          <w:rFonts w:asciiTheme="majorEastAsia" w:eastAsiaTheme="majorEastAsia" w:hAnsi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考博成绩分初试成绩（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50%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）和复试成绩（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50%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）两部分，测算公式为：</w:t>
      </w:r>
    </w:p>
    <w:p w:rsidR="00060989" w:rsidRDefault="001F6FAA">
      <w:pPr>
        <w:widowControl/>
        <w:ind w:firstLineChars="200" w:firstLine="540"/>
        <w:jc w:val="left"/>
        <w:rPr>
          <w:rFonts w:asciiTheme="majorEastAsia" w:eastAsiaTheme="majorEastAsia" w:hAnsi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考博总成绩（百分制）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=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（初试总分÷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）×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50%+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复试成绩×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50%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。其中复试成绩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=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外语听说水平测试成绩×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5%+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专业课考核（考试）成绩×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30%+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综合面试成绩×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7"/>
          <w:szCs w:val="27"/>
          <w:lang w:bidi="ar"/>
        </w:rPr>
        <w:t>65%</w:t>
      </w:r>
    </w:p>
    <w:p w:rsidR="00060989" w:rsidRDefault="001F6FAA">
      <w:pPr>
        <w:widowControl/>
        <w:jc w:val="left"/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eastAsia="䅂䍄䕅⯋컌" w:hAnsi="䅂䍄䕅⯋컌" w:cs="䅂䍄䕅⯋컌"/>
          <w:b/>
          <w:bCs/>
          <w:color w:val="000000"/>
          <w:kern w:val="0"/>
          <w:sz w:val="27"/>
          <w:szCs w:val="27"/>
          <w:lang w:bidi="ar"/>
        </w:rPr>
        <w:t>录取原则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按照</w:t>
      </w:r>
      <w:r>
        <w:rPr>
          <w:rFonts w:ascii="仿宋" w:eastAsia="仿宋" w:hAnsi="仿宋" w:cs="仿宋" w:hint="eastAsia"/>
          <w:sz w:val="30"/>
          <w:szCs w:val="30"/>
        </w:rPr>
        <w:t>考博</w:t>
      </w:r>
      <w:r>
        <w:rPr>
          <w:rFonts w:ascii="仿宋" w:eastAsia="仿宋" w:hAnsi="仿宋" w:cs="仿宋" w:hint="eastAsia"/>
          <w:sz w:val="30"/>
          <w:szCs w:val="30"/>
        </w:rPr>
        <w:t>总成绩从高到低排名</w:t>
      </w:r>
      <w:r>
        <w:rPr>
          <w:rFonts w:ascii="仿宋" w:eastAsia="仿宋" w:hAnsi="仿宋" w:cs="仿宋" w:hint="eastAsia"/>
          <w:sz w:val="30"/>
          <w:szCs w:val="30"/>
        </w:rPr>
        <w:t>依次</w:t>
      </w:r>
      <w:r>
        <w:rPr>
          <w:rFonts w:ascii="仿宋" w:eastAsia="仿宋" w:hAnsi="仿宋" w:cs="仿宋" w:hint="eastAsia"/>
          <w:sz w:val="30"/>
          <w:szCs w:val="30"/>
        </w:rPr>
        <w:t>录取</w:t>
      </w:r>
      <w:r>
        <w:rPr>
          <w:rFonts w:ascii="仿宋" w:eastAsia="仿宋" w:hAnsi="仿宋" w:cs="仿宋" w:hint="eastAsia"/>
          <w:sz w:val="30"/>
          <w:szCs w:val="30"/>
        </w:rPr>
        <w:t>，额满为止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如出现总成绩同分，以初试成绩总分高优先，初试成绩总分再同分，以英语单科成绩高优先。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有以下情形之一的考生不予录取：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复试成绩不合格者（</w:t>
      </w:r>
      <w:r>
        <w:rPr>
          <w:rFonts w:ascii="仿宋" w:eastAsia="仿宋" w:hAnsi="仿宋" w:cs="仿宋" w:hint="eastAsia"/>
          <w:sz w:val="30"/>
          <w:szCs w:val="30"/>
        </w:rPr>
        <w:t>60</w:t>
      </w:r>
      <w:r>
        <w:rPr>
          <w:rFonts w:ascii="仿宋" w:eastAsia="仿宋" w:hAnsi="仿宋" w:cs="仿宋" w:hint="eastAsia"/>
          <w:sz w:val="30"/>
          <w:szCs w:val="30"/>
        </w:rPr>
        <w:t>分以下）；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思想政治素质或道德品质考核不合格者；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人事</w:t>
      </w:r>
      <w:r>
        <w:rPr>
          <w:rFonts w:ascii="仿宋" w:eastAsia="仿宋" w:hAnsi="仿宋" w:cs="仿宋" w:hint="eastAsia"/>
          <w:sz w:val="30"/>
          <w:szCs w:val="30"/>
        </w:rPr>
        <w:t>（学籍）</w:t>
      </w:r>
      <w:r>
        <w:rPr>
          <w:rFonts w:ascii="仿宋" w:eastAsia="仿宋" w:hAnsi="仿宋" w:cs="仿宋" w:hint="eastAsia"/>
          <w:sz w:val="30"/>
          <w:szCs w:val="30"/>
        </w:rPr>
        <w:t>档案审查不合格者；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体检不合格者；</w:t>
      </w:r>
    </w:p>
    <w:p w:rsidR="00060989" w:rsidRDefault="001F6FAA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其他不符合录取规定者。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060989" w:rsidRDefault="001F6FAA">
      <w:pPr>
        <w:widowControl/>
        <w:jc w:val="left"/>
      </w:pPr>
      <w:r>
        <w:rPr>
          <w:rFonts w:ascii="䅂䍄䕅⯋컌" w:eastAsia="䅂䍄䕅⯋컌" w:hAnsi="䅂䍄䕅⯋컌" w:cs="䅂䍄䕅⯋컌"/>
          <w:color w:val="000000"/>
          <w:kern w:val="0"/>
          <w:sz w:val="27"/>
          <w:szCs w:val="27"/>
          <w:lang w:bidi="ar"/>
        </w:rPr>
        <w:t xml:space="preserve"> </w:t>
      </w:r>
    </w:p>
    <w:p w:rsidR="00060989" w:rsidRDefault="001F6FAA">
      <w:pPr>
        <w:widowControl/>
        <w:jc w:val="left"/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eastAsia="䅂䍄䕅⯋컌" w:hAnsi="䅂䍄䕅⯋컌" w:cs="䅂䍄䕅⯋컌"/>
          <w:b/>
          <w:bCs/>
          <w:color w:val="000000"/>
          <w:kern w:val="0"/>
          <w:sz w:val="27"/>
          <w:szCs w:val="27"/>
          <w:lang w:bidi="ar"/>
        </w:rPr>
        <w:t>注意事项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 w:rsidR="00060989" w:rsidRDefault="001F6FAA">
      <w:pPr>
        <w:widowControl/>
        <w:jc w:val="left"/>
      </w:pPr>
      <w:r>
        <w:rPr>
          <w:rFonts w:ascii="䅂䍄䕅⯋컌" w:eastAsia="䅂䍄䕅⯋컌" w:hAnsi="䅂䍄䕅⯋컌" w:cs="䅂䍄䕅⯋컌"/>
          <w:color w:val="000000"/>
          <w:kern w:val="0"/>
          <w:sz w:val="27"/>
          <w:szCs w:val="27"/>
          <w:lang w:bidi="ar"/>
        </w:rPr>
        <w:t>请考生按时参加复试，严格遵守复试程序，在等待</w:t>
      </w:r>
      <w:proofErr w:type="gramStart"/>
      <w:r>
        <w:rPr>
          <w:rFonts w:ascii="䅂䍄䕅⯋컌" w:eastAsia="䅂䍄䕅⯋컌" w:hAnsi="䅂䍄䕅⯋컌" w:cs="䅂䍄䕅⯋컌"/>
          <w:color w:val="000000"/>
          <w:kern w:val="0"/>
          <w:sz w:val="27"/>
          <w:szCs w:val="27"/>
          <w:lang w:bidi="ar"/>
        </w:rPr>
        <w:t>处保持</w:t>
      </w:r>
      <w:proofErr w:type="gramEnd"/>
      <w:r>
        <w:rPr>
          <w:rFonts w:ascii="䅂䍄䕅⯋컌" w:eastAsia="䅂䍄䕅⯋컌" w:hAnsi="䅂䍄䕅⯋컌" w:cs="䅂䍄䕅⯋컌"/>
          <w:color w:val="000000"/>
          <w:kern w:val="0"/>
          <w:sz w:val="27"/>
          <w:szCs w:val="27"/>
          <w:lang w:bidi="ar"/>
        </w:rPr>
        <w:t>安静，不得喧哗，不得交头接耳，不得谈论面试相关情况。</w:t>
      </w:r>
      <w:r>
        <w:rPr>
          <w:rFonts w:ascii="䅂䍄䕅⯋컌" w:eastAsia="䅂䍄䕅⯋컌" w:hAnsi="䅂䍄䕅⯋컌" w:cs="䅂䍄䕅⯋컌"/>
          <w:color w:val="000000"/>
          <w:kern w:val="0"/>
          <w:sz w:val="27"/>
          <w:szCs w:val="27"/>
          <w:lang w:bidi="ar"/>
        </w:rPr>
        <w:t xml:space="preserve"> </w:t>
      </w:r>
    </w:p>
    <w:p w:rsidR="00060989" w:rsidRDefault="00060989"/>
    <w:sectPr w:rsidR="0006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A1" w:rsidRDefault="00EC0AA1" w:rsidP="00EC0AA1">
      <w:r>
        <w:separator/>
      </w:r>
    </w:p>
  </w:endnote>
  <w:endnote w:type="continuationSeparator" w:id="0">
    <w:p w:rsidR="00EC0AA1" w:rsidRDefault="00EC0AA1" w:rsidP="00E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䅂䍄䕅⯋컌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A1" w:rsidRDefault="00EC0AA1" w:rsidP="00EC0AA1">
      <w:r>
        <w:separator/>
      </w:r>
    </w:p>
  </w:footnote>
  <w:footnote w:type="continuationSeparator" w:id="0">
    <w:p w:rsidR="00EC0AA1" w:rsidRDefault="00EC0AA1" w:rsidP="00EC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jdiYjQxNGRjNzRhMjQyNDg3YjEzMjYwOTMwZTYifQ=="/>
  </w:docVars>
  <w:rsids>
    <w:rsidRoot w:val="138C4C38"/>
    <w:rsid w:val="00042E0C"/>
    <w:rsid w:val="00060989"/>
    <w:rsid w:val="000814F1"/>
    <w:rsid w:val="000C39F3"/>
    <w:rsid w:val="000F762B"/>
    <w:rsid w:val="001E001F"/>
    <w:rsid w:val="001F6FAA"/>
    <w:rsid w:val="002D2DA5"/>
    <w:rsid w:val="003C3B13"/>
    <w:rsid w:val="00440B33"/>
    <w:rsid w:val="00475799"/>
    <w:rsid w:val="00482ECD"/>
    <w:rsid w:val="00597002"/>
    <w:rsid w:val="00691B63"/>
    <w:rsid w:val="006D7BDA"/>
    <w:rsid w:val="007A1A9D"/>
    <w:rsid w:val="007F188A"/>
    <w:rsid w:val="00843F70"/>
    <w:rsid w:val="00844109"/>
    <w:rsid w:val="008F79C1"/>
    <w:rsid w:val="0094617A"/>
    <w:rsid w:val="00A42370"/>
    <w:rsid w:val="00A51BCB"/>
    <w:rsid w:val="00B71FC5"/>
    <w:rsid w:val="00B86296"/>
    <w:rsid w:val="00B95F6A"/>
    <w:rsid w:val="00BA1343"/>
    <w:rsid w:val="00CF34A0"/>
    <w:rsid w:val="00D176D9"/>
    <w:rsid w:val="00DF1786"/>
    <w:rsid w:val="00E351F8"/>
    <w:rsid w:val="00E6574D"/>
    <w:rsid w:val="00EC0AA1"/>
    <w:rsid w:val="00FF12C8"/>
    <w:rsid w:val="03285292"/>
    <w:rsid w:val="03C1593A"/>
    <w:rsid w:val="0BDE2A9B"/>
    <w:rsid w:val="0C865B7A"/>
    <w:rsid w:val="109E78AF"/>
    <w:rsid w:val="138C4C38"/>
    <w:rsid w:val="16E90F68"/>
    <w:rsid w:val="178B74BD"/>
    <w:rsid w:val="316C7DCB"/>
    <w:rsid w:val="4177481D"/>
    <w:rsid w:val="4AAE12AF"/>
    <w:rsid w:val="58BD4DB3"/>
    <w:rsid w:val="5E4775F9"/>
    <w:rsid w:val="5ED2069F"/>
    <w:rsid w:val="6C7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0A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0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0A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0A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0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0A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72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wee</cp:lastModifiedBy>
  <cp:revision>34</cp:revision>
  <cp:lastPrinted>2023-04-28T01:01:00Z</cp:lastPrinted>
  <dcterms:created xsi:type="dcterms:W3CDTF">2023-04-27T08:29:00Z</dcterms:created>
  <dcterms:modified xsi:type="dcterms:W3CDTF">2024-04-30T13:50:00Z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5D4C12F5CC9F437AB86219D6F516C962_13</vt:lpwstr>
  </property>
</Properties>
</file>