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7276AA">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rPr>
        <w:t>年定向</w:t>
      </w:r>
      <w:r>
        <w:rPr>
          <w:rFonts w:hint="eastAsia" w:ascii="方正小标宋简体" w:hAnsi="方正小标宋简体" w:eastAsia="方正小标宋简体" w:cs="方正小标宋简体"/>
          <w:sz w:val="44"/>
          <w:szCs w:val="44"/>
          <w:lang w:eastAsia="zh-CN"/>
        </w:rPr>
        <w:t>新疆</w:t>
      </w:r>
      <w:r>
        <w:rPr>
          <w:rFonts w:hint="eastAsia" w:ascii="方正小标宋简体" w:hAnsi="方正小标宋简体" w:eastAsia="方正小标宋简体" w:cs="方正小标宋简体"/>
          <w:sz w:val="44"/>
          <w:szCs w:val="44"/>
          <w:lang w:val="en-US" w:eastAsia="zh-CN"/>
        </w:rPr>
        <w:t>大学</w:t>
      </w:r>
      <w:r>
        <w:rPr>
          <w:rFonts w:hint="eastAsia" w:ascii="方正小标宋简体" w:hAnsi="方正小标宋简体" w:eastAsia="方正小标宋简体" w:cs="方正小标宋简体"/>
          <w:sz w:val="44"/>
          <w:szCs w:val="44"/>
        </w:rPr>
        <w:t>“</w:t>
      </w:r>
      <w:r>
        <w:rPr>
          <w:rFonts w:hint="eastAsia" w:ascii="方正小标宋_GBK" w:hAnsi="方正小标宋_GBK" w:eastAsia="方正小标宋_GBK" w:cs="方正小标宋_GBK"/>
          <w:b w:val="0"/>
          <w:bCs w:val="0"/>
          <w:color w:val="auto"/>
          <w:sz w:val="44"/>
          <w:szCs w:val="44"/>
        </w:rPr>
        <w:t>对口支援部省合建</w:t>
      </w:r>
      <w:r>
        <w:rPr>
          <w:rFonts w:hint="eastAsia" w:ascii="方正小标宋简体" w:hAnsi="方正小标宋简体" w:eastAsia="方正小标宋简体" w:cs="方正小标宋简体"/>
          <w:sz w:val="44"/>
          <w:szCs w:val="44"/>
        </w:rPr>
        <w:t>”专项计划说明</w:t>
      </w:r>
    </w:p>
    <w:p w14:paraId="2B530427">
      <w:pPr>
        <w:pStyle w:val="2"/>
        <w:widowControl/>
        <w:spacing w:beforeAutospacing="0" w:afterAutospacing="0" w:line="500" w:lineRule="exact"/>
        <w:rPr>
          <w:rFonts w:ascii="仿宋_GB2312" w:hAnsi="仿宋_GB2312" w:eastAsia="仿宋_GB2312" w:cs="仿宋_GB2312"/>
          <w:color w:val="333333"/>
          <w:sz w:val="28"/>
          <w:szCs w:val="28"/>
          <w:shd w:val="clear" w:color="auto" w:fill="FFFFFF"/>
        </w:rPr>
      </w:pPr>
    </w:p>
    <w:p w14:paraId="29AA845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为做好部属院校与部省合建高校对口合作工作，根据</w:t>
      </w:r>
      <w:r>
        <w:rPr>
          <w:rFonts w:hint="eastAsia" w:ascii="Times New Roman" w:hAnsi="Times New Roman" w:eastAsia="方正仿宋_GBK" w:cs="Times New Roman"/>
          <w:b w:val="0"/>
          <w:bCs w:val="0"/>
          <w:kern w:val="2"/>
          <w:sz w:val="32"/>
          <w:szCs w:val="32"/>
          <w:highlight w:val="none"/>
          <w:lang w:val="en-US" w:eastAsia="zh-CN" w:bidi="ar-SA"/>
        </w:rPr>
        <w:t>教育部2026年博士研究生招生计划</w:t>
      </w:r>
      <w:r>
        <w:rPr>
          <w:rFonts w:hint="eastAsia" w:ascii="Times New Roman" w:hAnsi="Times New Roman" w:eastAsia="方正仿宋_GBK" w:cs="Times New Roman"/>
          <w:b w:val="0"/>
          <w:bCs w:val="0"/>
          <w:kern w:val="2"/>
          <w:sz w:val="32"/>
          <w:szCs w:val="32"/>
          <w:lang w:val="en-US" w:eastAsia="zh-CN" w:bidi="ar-SA"/>
        </w:rPr>
        <w:t>对口支援部省合建高校专项计划相关要求，现将相关工作说明如下。</w:t>
      </w:r>
    </w:p>
    <w:p w14:paraId="6E819154">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b w:val="0"/>
          <w:bCs w:val="0"/>
          <w:color w:val="auto"/>
          <w:kern w:val="2"/>
          <w:sz w:val="32"/>
          <w:szCs w:val="32"/>
          <w:highlight w:val="none"/>
          <w:lang w:val="en-US" w:eastAsia="zh-CN" w:bidi="ar-SA"/>
        </w:rPr>
      </w:pPr>
      <w:r>
        <w:rPr>
          <w:rFonts w:hint="eastAsia" w:ascii="黑体" w:hAnsi="黑体" w:eastAsia="黑体" w:cs="黑体"/>
          <w:b w:val="0"/>
          <w:bCs w:val="0"/>
          <w:color w:val="auto"/>
          <w:kern w:val="2"/>
          <w:sz w:val="32"/>
          <w:szCs w:val="32"/>
          <w:highlight w:val="none"/>
          <w:lang w:val="en-US" w:eastAsia="zh-CN" w:bidi="ar-SA"/>
        </w:rPr>
        <w:t>一、招生专业</w:t>
      </w:r>
    </w:p>
    <w:tbl>
      <w:tblPr>
        <w:tblStyle w:val="4"/>
        <w:tblpPr w:leftFromText="180" w:rightFromText="180" w:vertAnchor="text" w:horzAnchor="page" w:tblpXSpec="center" w:tblpY="319"/>
        <w:tblOverlap w:val="never"/>
        <w:tblW w:w="76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1"/>
        <w:gridCol w:w="3595"/>
        <w:gridCol w:w="2396"/>
      </w:tblGrid>
      <w:tr w14:paraId="6CA78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exact"/>
          <w:jc w:val="center"/>
        </w:trPr>
        <w:tc>
          <w:tcPr>
            <w:tcW w:w="1671" w:type="dxa"/>
          </w:tcPr>
          <w:p w14:paraId="18E33537">
            <w:pPr>
              <w:jc w:val="center"/>
              <w:rPr>
                <w:rFonts w:ascii="华文楷体" w:hAnsi="华文楷体" w:eastAsia="华文楷体" w:cs="华文楷体"/>
                <w:sz w:val="24"/>
              </w:rPr>
            </w:pPr>
            <w:r>
              <w:rPr>
                <w:rFonts w:hint="eastAsia" w:ascii="华文楷体" w:hAnsi="华文楷体" w:eastAsia="华文楷体" w:cs="华文楷体"/>
                <w:sz w:val="24"/>
              </w:rPr>
              <w:t>专业代码</w:t>
            </w:r>
          </w:p>
        </w:tc>
        <w:tc>
          <w:tcPr>
            <w:tcW w:w="3595" w:type="dxa"/>
          </w:tcPr>
          <w:p w14:paraId="19300B69">
            <w:pPr>
              <w:jc w:val="center"/>
              <w:rPr>
                <w:rFonts w:ascii="华文楷体" w:hAnsi="华文楷体" w:eastAsia="华文楷体" w:cs="华文楷体"/>
                <w:sz w:val="24"/>
              </w:rPr>
            </w:pPr>
            <w:r>
              <w:rPr>
                <w:rFonts w:hint="eastAsia" w:ascii="华文楷体" w:hAnsi="华文楷体" w:eastAsia="华文楷体" w:cs="华文楷体"/>
                <w:sz w:val="24"/>
              </w:rPr>
              <w:t>专业名称</w:t>
            </w:r>
          </w:p>
        </w:tc>
        <w:tc>
          <w:tcPr>
            <w:tcW w:w="2396" w:type="dxa"/>
          </w:tcPr>
          <w:p w14:paraId="3111D926">
            <w:pPr>
              <w:jc w:val="center"/>
              <w:rPr>
                <w:rFonts w:ascii="华文楷体" w:hAnsi="华文楷体" w:eastAsia="华文楷体" w:cs="华文楷体"/>
                <w:sz w:val="24"/>
              </w:rPr>
            </w:pPr>
            <w:r>
              <w:rPr>
                <w:rFonts w:hint="eastAsia" w:ascii="华文楷体" w:hAnsi="华文楷体" w:eastAsia="华文楷体" w:cs="华文楷体"/>
                <w:sz w:val="24"/>
              </w:rPr>
              <w:t>招生计划</w:t>
            </w:r>
          </w:p>
        </w:tc>
      </w:tr>
      <w:tr w14:paraId="4722C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exact"/>
          <w:jc w:val="center"/>
        </w:trPr>
        <w:tc>
          <w:tcPr>
            <w:tcW w:w="1671" w:type="dxa"/>
          </w:tcPr>
          <w:p w14:paraId="6B3F01FE">
            <w:pPr>
              <w:jc w:val="center"/>
              <w:rPr>
                <w:rFonts w:hint="eastAsia" w:ascii="方正仿宋_GB2312" w:hAnsi="方正仿宋_GB2312" w:eastAsia="方正仿宋_GB2312" w:cs="方正仿宋_GB2312"/>
                <w:b/>
                <w:bCs/>
                <w:color w:val="000000" w:themeColor="text1"/>
                <w:sz w:val="24"/>
                <w:highlight w:val="none"/>
                <w:lang w:val="en-US" w:eastAsia="zh-CN"/>
                <w14:textFill>
                  <w14:solidFill>
                    <w14:schemeClr w14:val="tx1"/>
                  </w14:solidFill>
                </w14:textFill>
              </w:rPr>
            </w:pPr>
            <w:r>
              <w:rPr>
                <w:rFonts w:hint="eastAsia" w:ascii="方正仿宋_GB2312" w:hAnsi="方正仿宋_GB2312" w:eastAsia="方正仿宋_GB2312" w:cs="方正仿宋_GB2312"/>
                <w:b/>
                <w:bCs/>
                <w:color w:val="000000" w:themeColor="text1"/>
                <w:sz w:val="24"/>
                <w:highlight w:val="none"/>
                <w:lang w:val="en-US" w:eastAsia="zh-CN"/>
                <w14:textFill>
                  <w14:solidFill>
                    <w14:schemeClr w14:val="tx1"/>
                  </w14:solidFill>
                </w14:textFill>
              </w:rPr>
              <w:t>030101</w:t>
            </w:r>
          </w:p>
        </w:tc>
        <w:tc>
          <w:tcPr>
            <w:tcW w:w="3595" w:type="dxa"/>
            <w:vAlign w:val="center"/>
          </w:tcPr>
          <w:p w14:paraId="1EDF5759">
            <w:pPr>
              <w:widowControl/>
              <w:jc w:val="center"/>
              <w:rPr>
                <w:rFonts w:hint="eastAsia" w:ascii="方正仿宋_GB2312" w:hAnsi="方正仿宋_GB2312" w:eastAsia="方正仿宋_GB2312" w:cs="方正仿宋_GB2312"/>
                <w:b/>
                <w:bCs/>
                <w:color w:val="000000" w:themeColor="text1"/>
                <w:sz w:val="24"/>
                <w:lang w:val="en-US" w:eastAsia="zh-CN"/>
                <w14:textFill>
                  <w14:solidFill>
                    <w14:schemeClr w14:val="tx1"/>
                  </w14:solidFill>
                </w14:textFill>
              </w:rPr>
            </w:pPr>
            <w:r>
              <w:rPr>
                <w:rFonts w:hint="eastAsia" w:ascii="方正仿宋_GB2312" w:hAnsi="方正仿宋_GB2312" w:eastAsia="方正仿宋_GB2312" w:cs="方正仿宋_GB2312"/>
                <w:b/>
                <w:bCs/>
                <w:color w:val="000000" w:themeColor="text1"/>
                <w:sz w:val="24"/>
                <w:lang w:val="en-US" w:eastAsia="zh-CN"/>
                <w14:textFill>
                  <w14:solidFill>
                    <w14:schemeClr w14:val="tx1"/>
                  </w14:solidFill>
                </w14:textFill>
              </w:rPr>
              <w:t>法学理论</w:t>
            </w:r>
          </w:p>
        </w:tc>
        <w:tc>
          <w:tcPr>
            <w:tcW w:w="2396" w:type="dxa"/>
          </w:tcPr>
          <w:p w14:paraId="53A97632">
            <w:pPr>
              <w:jc w:val="center"/>
              <w:rPr>
                <w:rFonts w:ascii="华文仿宋" w:hAnsi="华文仿宋" w:eastAsia="华文仿宋" w:cs="华文仿宋"/>
                <w:sz w:val="24"/>
              </w:rPr>
            </w:pPr>
            <w:r>
              <w:rPr>
                <w:rFonts w:hint="eastAsia" w:ascii="华文仿宋" w:hAnsi="华文仿宋" w:eastAsia="华文仿宋" w:cs="华文仿宋"/>
                <w:sz w:val="24"/>
              </w:rPr>
              <w:t>1</w:t>
            </w:r>
          </w:p>
        </w:tc>
      </w:tr>
      <w:tr w14:paraId="256F6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exact"/>
          <w:jc w:val="center"/>
        </w:trPr>
        <w:tc>
          <w:tcPr>
            <w:tcW w:w="1671" w:type="dxa"/>
          </w:tcPr>
          <w:p w14:paraId="0C1A0AE2">
            <w:pPr>
              <w:jc w:val="center"/>
              <w:rPr>
                <w:rFonts w:hint="default" w:ascii="华文仿宋" w:hAnsi="华文仿宋" w:eastAsia="华文仿宋" w:cs="华文仿宋"/>
                <w:b/>
                <w:bCs/>
                <w:sz w:val="24"/>
                <w:highlight w:val="none"/>
                <w:lang w:val="en-US" w:eastAsia="zh-CN"/>
              </w:rPr>
            </w:pPr>
            <w:r>
              <w:rPr>
                <w:rFonts w:hint="eastAsia" w:ascii="华文仿宋" w:hAnsi="华文仿宋" w:eastAsia="华文仿宋" w:cs="华文仿宋"/>
                <w:b/>
                <w:bCs/>
                <w:sz w:val="24"/>
                <w:highlight w:val="none"/>
                <w:lang w:val="en-US" w:eastAsia="zh-CN"/>
              </w:rPr>
              <w:t>030102</w:t>
            </w:r>
          </w:p>
        </w:tc>
        <w:tc>
          <w:tcPr>
            <w:tcW w:w="3595" w:type="dxa"/>
            <w:vAlign w:val="center"/>
          </w:tcPr>
          <w:p w14:paraId="1AF51042">
            <w:pPr>
              <w:widowControl/>
              <w:jc w:val="center"/>
              <w:rPr>
                <w:rFonts w:hint="eastAsia" w:ascii="华文仿宋" w:hAnsi="华文仿宋" w:eastAsia="华文仿宋" w:cs="华文仿宋"/>
                <w:b/>
                <w:bCs/>
                <w:sz w:val="24"/>
                <w:lang w:eastAsia="zh-CN"/>
              </w:rPr>
            </w:pPr>
            <w:r>
              <w:rPr>
                <w:rFonts w:hint="eastAsia" w:ascii="Times New Roman" w:hAnsi="Times New Roman" w:eastAsia="方正仿宋_GBK" w:cs="Times New Roman"/>
                <w:b/>
                <w:bCs/>
                <w:kern w:val="0"/>
                <w:sz w:val="24"/>
                <w:highlight w:val="none"/>
                <w:lang w:val="en-US" w:eastAsia="zh-CN"/>
              </w:rPr>
              <w:t>法律史</w:t>
            </w:r>
          </w:p>
        </w:tc>
        <w:tc>
          <w:tcPr>
            <w:tcW w:w="2396" w:type="dxa"/>
          </w:tcPr>
          <w:p w14:paraId="3816E323">
            <w:pPr>
              <w:jc w:val="center"/>
              <w:rPr>
                <w:rFonts w:ascii="华文仿宋" w:hAnsi="华文仿宋" w:eastAsia="华文仿宋" w:cs="华文仿宋"/>
                <w:sz w:val="24"/>
              </w:rPr>
            </w:pPr>
            <w:r>
              <w:rPr>
                <w:rFonts w:hint="eastAsia" w:ascii="华文仿宋" w:hAnsi="华文仿宋" w:eastAsia="华文仿宋" w:cs="华文仿宋"/>
                <w:sz w:val="24"/>
              </w:rPr>
              <w:t>1</w:t>
            </w:r>
          </w:p>
        </w:tc>
      </w:tr>
      <w:tr w14:paraId="04F7A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exact"/>
          <w:jc w:val="center"/>
        </w:trPr>
        <w:tc>
          <w:tcPr>
            <w:tcW w:w="1671" w:type="dxa"/>
          </w:tcPr>
          <w:p w14:paraId="7BD0C4CC">
            <w:pPr>
              <w:jc w:val="center"/>
              <w:rPr>
                <w:rFonts w:hint="default" w:ascii="华文仿宋" w:hAnsi="华文仿宋" w:eastAsia="华文仿宋" w:cs="华文仿宋"/>
                <w:b/>
                <w:bCs/>
                <w:sz w:val="24"/>
                <w:highlight w:val="none"/>
                <w:lang w:val="en-US" w:eastAsia="zh-CN"/>
              </w:rPr>
            </w:pPr>
            <w:r>
              <w:rPr>
                <w:rFonts w:hint="eastAsia" w:ascii="华文仿宋" w:hAnsi="华文仿宋" w:eastAsia="华文仿宋" w:cs="华文仿宋"/>
                <w:b/>
                <w:bCs/>
                <w:sz w:val="24"/>
                <w:highlight w:val="none"/>
                <w:lang w:val="en-US" w:eastAsia="zh-CN"/>
              </w:rPr>
              <w:t>030505</w:t>
            </w:r>
          </w:p>
        </w:tc>
        <w:tc>
          <w:tcPr>
            <w:tcW w:w="3595" w:type="dxa"/>
            <w:vAlign w:val="center"/>
          </w:tcPr>
          <w:p w14:paraId="0CCB552A">
            <w:pPr>
              <w:widowControl/>
              <w:jc w:val="center"/>
              <w:rPr>
                <w:rFonts w:hint="default" w:ascii="华文仿宋" w:hAnsi="华文仿宋" w:eastAsia="华文仿宋" w:cs="华文仿宋"/>
                <w:b/>
                <w:bCs/>
                <w:sz w:val="24"/>
                <w:lang w:val="en-US" w:eastAsia="zh-CN"/>
              </w:rPr>
            </w:pPr>
            <w:r>
              <w:rPr>
                <w:rFonts w:hint="eastAsia" w:ascii="Times New Roman" w:hAnsi="Times New Roman" w:eastAsia="方正仿宋_GBK" w:cs="Times New Roman"/>
                <w:b/>
                <w:bCs/>
                <w:kern w:val="0"/>
                <w:sz w:val="24"/>
                <w:highlight w:val="none"/>
                <w:lang w:val="en-US" w:eastAsia="zh-CN"/>
              </w:rPr>
              <w:t>思想政治教育</w:t>
            </w:r>
          </w:p>
        </w:tc>
        <w:tc>
          <w:tcPr>
            <w:tcW w:w="2396" w:type="dxa"/>
          </w:tcPr>
          <w:p w14:paraId="0BB451DA">
            <w:pPr>
              <w:jc w:val="center"/>
              <w:rPr>
                <w:rFonts w:ascii="华文仿宋" w:hAnsi="华文仿宋" w:eastAsia="华文仿宋" w:cs="华文仿宋"/>
                <w:sz w:val="24"/>
              </w:rPr>
            </w:pPr>
            <w:r>
              <w:rPr>
                <w:rFonts w:hint="eastAsia" w:ascii="华文仿宋" w:hAnsi="华文仿宋" w:eastAsia="华文仿宋" w:cs="华文仿宋"/>
                <w:sz w:val="24"/>
              </w:rPr>
              <w:t>1</w:t>
            </w:r>
          </w:p>
        </w:tc>
      </w:tr>
    </w:tbl>
    <w:p w14:paraId="43BB58D9">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b w:val="0"/>
          <w:bCs w:val="0"/>
          <w:color w:val="auto"/>
          <w:kern w:val="2"/>
          <w:sz w:val="32"/>
          <w:szCs w:val="32"/>
          <w:highlight w:val="none"/>
          <w:lang w:val="en-US" w:eastAsia="zh-CN" w:bidi="ar-SA"/>
        </w:rPr>
      </w:pPr>
      <w:r>
        <w:rPr>
          <w:rFonts w:hint="eastAsia" w:ascii="黑体" w:hAnsi="黑体" w:eastAsia="黑体" w:cs="黑体"/>
          <w:b w:val="0"/>
          <w:bCs w:val="0"/>
          <w:color w:val="auto"/>
          <w:kern w:val="2"/>
          <w:sz w:val="32"/>
          <w:szCs w:val="32"/>
          <w:highlight w:val="none"/>
          <w:lang w:val="en-US" w:eastAsia="zh-CN" w:bidi="ar-SA"/>
        </w:rPr>
        <w:t>二、报名办法</w:t>
      </w:r>
      <w:bookmarkStart w:id="0" w:name="_GoBack"/>
      <w:bookmarkEnd w:id="0"/>
    </w:p>
    <w:p w14:paraId="5E1AC1B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（一）报名条件：按照武汉大学招收攻读博士学位研究生要求完成报名。</w:t>
      </w:r>
    </w:p>
    <w:p w14:paraId="0C56944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（二）材料提交：有意报考“对口支援部省合建计划”的考生，申请前须与新疆大学联系（电话：0991-8582301，电子邮箱：xjdxjgb@163.com,李老师），充分了解定向培养的具体条件。</w:t>
      </w:r>
    </w:p>
    <w:p w14:paraId="0B7CD70D">
      <w:pPr>
        <w:ind w:firstLine="640" w:firstLineChars="200"/>
        <w:rPr>
          <w:rFonts w:hint="eastAsia" w:ascii="黑体" w:hAnsi="黑体" w:eastAsia="黑体" w:cs="黑体"/>
          <w:b w:val="0"/>
          <w:bCs w:val="0"/>
          <w:color w:val="auto"/>
          <w:kern w:val="2"/>
          <w:sz w:val="32"/>
          <w:szCs w:val="32"/>
          <w:highlight w:val="none"/>
          <w:lang w:val="en-US" w:eastAsia="zh-CN" w:bidi="ar-SA"/>
        </w:rPr>
      </w:pPr>
      <w:r>
        <w:rPr>
          <w:rFonts w:hint="eastAsia" w:ascii="黑体" w:hAnsi="黑体" w:eastAsia="黑体" w:cs="黑体"/>
          <w:sz w:val="32"/>
          <w:szCs w:val="32"/>
        </w:rPr>
        <w:t>三、</w:t>
      </w:r>
      <w:r>
        <w:rPr>
          <w:rFonts w:hint="eastAsia" w:ascii="黑体" w:hAnsi="黑体" w:eastAsia="黑体" w:cs="黑体"/>
          <w:b w:val="0"/>
          <w:bCs w:val="0"/>
          <w:color w:val="auto"/>
          <w:kern w:val="2"/>
          <w:sz w:val="32"/>
          <w:szCs w:val="32"/>
          <w:highlight w:val="none"/>
          <w:lang w:val="en-US" w:eastAsia="zh-CN" w:bidi="ar-SA"/>
        </w:rPr>
        <w:t>选拔录取及相关待遇</w:t>
      </w:r>
    </w:p>
    <w:p w14:paraId="7E585E2E">
      <w:pPr>
        <w:spacing w:line="520" w:lineRule="exact"/>
        <w:ind w:firstLine="640" w:firstLineChars="200"/>
        <w:rPr>
          <w:rFonts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（一）报考人员具体要求</w:t>
      </w:r>
    </w:p>
    <w:p w14:paraId="5FAB130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1.受援高校（新疆大学）在编教师：符合《新疆大学教职工在职学习进修管理办法（修订）》（新大党字〔2025〕76号）等相关文件要求。</w:t>
      </w:r>
    </w:p>
    <w:p w14:paraId="107E825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2.非在职考生：原则上为当年应届毕业硕士研究生，报考时年龄须在30周岁（含30周岁）以下。</w:t>
      </w:r>
    </w:p>
    <w:p w14:paraId="77374C31">
      <w:pPr>
        <w:spacing w:line="520" w:lineRule="exact"/>
        <w:ind w:firstLine="640" w:firstLineChars="200"/>
        <w:rPr>
          <w:rFonts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二</w:t>
      </w: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待遇及管理</w:t>
      </w:r>
    </w:p>
    <w:p w14:paraId="767EBD5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1.报考人员在达到武汉大学录取条件后，经新疆大学与武汉大学协商，三方签订定向协议。</w:t>
      </w:r>
    </w:p>
    <w:p w14:paraId="69E77AE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2.在编教师待遇、服务年限和管理等具体事宜按照新疆大学相关文件规定和所签协议执行。</w:t>
      </w:r>
    </w:p>
    <w:p w14:paraId="1FB21F8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3.非在职考生读博费用由个人承担，奖助学金资格依据武汉大学的相关规定执行，毕业后按照新疆大学当年人才引进政策返校工作并享受相关待遇。</w:t>
      </w:r>
    </w:p>
    <w:p w14:paraId="085F5A02">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b w:val="0"/>
          <w:bCs w:val="0"/>
          <w:color w:val="auto"/>
          <w:kern w:val="2"/>
          <w:sz w:val="32"/>
          <w:szCs w:val="32"/>
          <w:highlight w:val="none"/>
          <w:lang w:val="en-US" w:eastAsia="zh-CN" w:bidi="ar-SA"/>
        </w:rPr>
      </w:pPr>
      <w:r>
        <w:rPr>
          <w:rFonts w:hint="eastAsia" w:ascii="黑体" w:hAnsi="黑体" w:eastAsia="黑体" w:cs="黑体"/>
          <w:b w:val="0"/>
          <w:bCs w:val="0"/>
          <w:color w:val="auto"/>
          <w:kern w:val="2"/>
          <w:sz w:val="32"/>
          <w:szCs w:val="32"/>
          <w:highlight w:val="none"/>
          <w:lang w:val="en-US" w:eastAsia="zh-CN" w:bidi="ar-SA"/>
        </w:rPr>
        <w:t>三、新疆大学简介</w:t>
      </w:r>
    </w:p>
    <w:p w14:paraId="7FFE0BD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新疆大学的前身是始创于1924年的新疆俄文法政专门学校，是国家首批“双一流建设”大学、“部省合建高校”。2024年，新疆大学迎来百年校庆。经过百年发展，学校已成为一所有着悠久办学历史、光荣革命传统、鲜明办学特色的综合性大学。学校始终秉承“团结、紧张、质朴、活泼”的校训，坚守“开拓、进取、求实、创新”的优良校风，力争到2035年全面建成“丝绸之路经济带上特色鲜明的研究型一流大学，成为传承红色基因的精神家园、区域重要的人才中心和创新高地”。</w:t>
      </w:r>
    </w:p>
    <w:p w14:paraId="0EF977B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学校现有哲学、经济学、法学、教育学、文学、历史学、理学、工学、农学、医学、管理学、艺术学、交叉学科13个学科门类。拥有3个国家双一流建设学科（马克思主义理论、化学、计算机科学与技术）、3个自治区“十四五”优势学科振兴工程建设学科（数学、中国语言文学、机械工程），6个自治区“十四五”特色学科创新工程建设学科（法学、地理学、生物学、生态学、电气工程、化学工程与技术）；10个学科（化学、工程学、材料学、环境与生态学、地球科学、计算机科学与技术、社会科学总论、数学、农业科学、植物学与动物学）进入ESI全球前1%。现有16个博士学位授权一级学科、3个博士专业学位授权类别，40个硕士学位授权一级学科、22个硕士专业学位授权类别，13个博士后科研流动站。设有87个本科专业，其中38个国家级一流本科专业建设点。</w:t>
      </w:r>
    </w:p>
    <w:p w14:paraId="22FD298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学校现有专任教师2158人，其中中国工程院、中国科学院院士6人（含“双聘”）， 国家卓越工程师1人，国家级领军人才25人，国家级青年人才27人。拥有国家和各部委批复建立的科研创新团队11个，全国黄大年式教师团队2个，国家级教学团队2个，入选自治区重点人才项目795人。拥有省部级以上科研平台（团队）97个。近三年，学校科研经费近15亿元，承担国家重大重点项目29项。</w:t>
      </w:r>
    </w:p>
    <w:p w14:paraId="4A57DE6E">
      <w:pPr>
        <w:keepNext w:val="0"/>
        <w:keepLines w:val="0"/>
        <w:pageBreakBefore w:val="0"/>
        <w:kinsoku/>
        <w:wordWrap/>
        <w:overflowPunct/>
        <w:topLinePunct w:val="0"/>
        <w:autoSpaceDE/>
        <w:autoSpaceDN/>
        <w:bidi w:val="0"/>
        <w:adjustRightInd/>
        <w:snapToGrid/>
        <w:spacing w:line="560" w:lineRule="exact"/>
        <w:textAlignment w:val="auto"/>
        <w:rPr>
          <w:rFonts w:ascii="仿宋" w:hAnsi="仿宋" w:eastAsia="仿宋"/>
          <w:sz w:val="32"/>
          <w:szCs w:val="32"/>
        </w:rPr>
      </w:pPr>
      <w:r>
        <w:rPr>
          <w:rFonts w:hint="eastAsia" w:ascii="Times New Roman" w:hAnsi="Times New Roman" w:eastAsia="方正仿宋_GBK" w:cs="Times New Roman"/>
          <w:b w:val="0"/>
          <w:bCs w:val="0"/>
          <w:kern w:val="2"/>
          <w:sz w:val="32"/>
          <w:szCs w:val="32"/>
          <w:lang w:val="en-US" w:eastAsia="zh-CN" w:bidi="ar-SA"/>
        </w:rPr>
        <w:t>近年来，学校涌现出全国教书育人楷模、全国教育系统先进集体、全国教育世家、全国模范教师、全国巾帼建功标兵、全国民族团结进步模范等一批师德典范。42人入选2025年全球前2%顶尖科学家榜单，其中“终身影响力”13人、“年度影响力”29人。</w:t>
      </w:r>
    </w:p>
    <w:sectPr>
      <w:pgSz w:w="11906" w:h="16838"/>
      <w:pgMar w:top="2154" w:right="1531" w:bottom="187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7EACED0-E086-40F7-ADEF-7A09A19944A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embedRegular r:id="rId2" w:fontKey="{2DADEF03-820F-4D65-A1B0-E227B8C84D77}"/>
  </w:font>
  <w:font w:name="方正小标宋_GBK">
    <w:altName w:val="微软雅黑"/>
    <w:panose1 w:val="03000509000000000000"/>
    <w:charset w:val="86"/>
    <w:family w:val="script"/>
    <w:pitch w:val="default"/>
    <w:sig w:usb0="00000000" w:usb1="00000000" w:usb2="00000000" w:usb3="00000000" w:csb0="00040000" w:csb1="00000000"/>
    <w:embedRegular r:id="rId3" w:fontKey="{7D91FBD9-364F-4703-A7C0-F9B63DF4CBC2}"/>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embedRegular r:id="rId4" w:fontKey="{3330150D-9B28-490E-804E-D0FB6084C104}"/>
  </w:font>
  <w:font w:name="仿宋">
    <w:panose1 w:val="02010609060101010101"/>
    <w:charset w:val="86"/>
    <w:family w:val="auto"/>
    <w:pitch w:val="default"/>
    <w:sig w:usb0="800002BF" w:usb1="38CF7CFA" w:usb2="00000016" w:usb3="00000000" w:csb0="00040001" w:csb1="00000000"/>
    <w:embedRegular r:id="rId5" w:fontKey="{B5A0C186-E4D6-46AA-B23B-F03BAE1AF691}"/>
  </w:font>
  <w:font w:name="方正仿宋_GBK">
    <w:altName w:val="微软雅黑"/>
    <w:panose1 w:val="03000509000000000000"/>
    <w:charset w:val="86"/>
    <w:family w:val="auto"/>
    <w:pitch w:val="default"/>
    <w:sig w:usb0="00000000" w:usb1="00000000" w:usb2="00000000" w:usb3="00000000" w:csb0="00040000" w:csb1="00000000"/>
    <w:embedRegular r:id="rId6" w:fontKey="{31F28DD9-AF93-47A8-9301-D92B5B166DF9}"/>
  </w:font>
  <w:font w:name="华文楷体">
    <w:altName w:val="宋体"/>
    <w:panose1 w:val="02010600040101010101"/>
    <w:charset w:val="86"/>
    <w:family w:val="auto"/>
    <w:pitch w:val="default"/>
    <w:sig w:usb0="00000000" w:usb1="00000000" w:usb2="00000010" w:usb3="00000000" w:csb0="0004009F" w:csb1="00000000"/>
    <w:embedRegular r:id="rId7" w:fontKey="{3B6632F7-AD2E-4D3D-90D6-938286E05A61}"/>
  </w:font>
  <w:font w:name="华文仿宋">
    <w:altName w:val="仿宋"/>
    <w:panose1 w:val="02010600040101010101"/>
    <w:charset w:val="86"/>
    <w:family w:val="auto"/>
    <w:pitch w:val="default"/>
    <w:sig w:usb0="00000000" w:usb1="00000000" w:usb2="00000010" w:usb3="00000000" w:csb0="0004009F" w:csb1="00000000"/>
    <w:embedRegular r:id="rId8" w:fontKey="{7F7482F9-6505-43E9-B5FC-AC23F0D376E1}"/>
  </w:font>
  <w:font w:name="方正楷体_GBK">
    <w:altName w:val="微软雅黑"/>
    <w:panose1 w:val="03000509000000000000"/>
    <w:charset w:val="86"/>
    <w:family w:val="script"/>
    <w:pitch w:val="default"/>
    <w:sig w:usb0="00000000" w:usb1="00000000" w:usb2="00000000" w:usb3="00000000" w:csb0="00040000" w:csb1="00000000"/>
    <w:embedRegular r:id="rId9" w:fontKey="{40019617-AF37-4B2E-8160-DB06516D6DD1}"/>
  </w:font>
  <w:font w:name="KSOF439EEF50">
    <w:panose1 w:val="02000000000000000000"/>
    <w:charset w:val="86"/>
    <w:family w:val="auto"/>
    <w:pitch w:val="default"/>
    <w:sig w:usb0="00000001" w:usb1="00000000" w:usb2="00000000" w:usb3="00000000" w:csb0="00040001" w:csb1="00000000"/>
  </w:font>
  <w:font w:name="KSOF0B7949D1">
    <w:panose1 w:val="02010600040101010101"/>
    <w:charset w:val="86"/>
    <w:family w:val="auto"/>
    <w:pitch w:val="default"/>
    <w:sig w:usb0="00000001" w:usb1="00000000" w:usb2="00000000" w:usb3="00000000" w:csb0="00040001" w:csb1="00000000"/>
  </w:font>
  <w:font w:name="方正仿宋_GB2312">
    <w:panose1 w:val="02000000000000000000"/>
    <w:charset w:val="86"/>
    <w:family w:val="auto"/>
    <w:pitch w:val="default"/>
    <w:sig w:usb0="A00002BF" w:usb1="184F6CFA" w:usb2="00000012" w:usb3="00000000" w:csb0="00040001" w:csb1="00000000"/>
    <w:embedRegular r:id="rId10" w:fontKey="{52459C0B-6E9C-4ABD-901C-35CDC4D9860D}"/>
  </w:font>
  <w:font w:name="KSOF0B79BE30">
    <w:panose1 w:val="0201060004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zNzI0ODMyMmM2ZGJlMGEyY2I0YTk2MWY1Y2M0OTIifQ=="/>
  </w:docVars>
  <w:rsids>
    <w:rsidRoot w:val="004C41D7"/>
    <w:rsid w:val="0008444C"/>
    <w:rsid w:val="0028370B"/>
    <w:rsid w:val="004C41D7"/>
    <w:rsid w:val="00513241"/>
    <w:rsid w:val="00751BFA"/>
    <w:rsid w:val="00845015"/>
    <w:rsid w:val="0089669E"/>
    <w:rsid w:val="00B31814"/>
    <w:rsid w:val="00C05DD6"/>
    <w:rsid w:val="00D70E0B"/>
    <w:rsid w:val="00E73010"/>
    <w:rsid w:val="01871A52"/>
    <w:rsid w:val="037B571C"/>
    <w:rsid w:val="045759F4"/>
    <w:rsid w:val="06C8671D"/>
    <w:rsid w:val="06FE5117"/>
    <w:rsid w:val="074724BE"/>
    <w:rsid w:val="0AE946AF"/>
    <w:rsid w:val="14A97BF1"/>
    <w:rsid w:val="15082906"/>
    <w:rsid w:val="15DC12BF"/>
    <w:rsid w:val="1A2055E5"/>
    <w:rsid w:val="1D0303C7"/>
    <w:rsid w:val="22BA124C"/>
    <w:rsid w:val="245160E1"/>
    <w:rsid w:val="2CD71115"/>
    <w:rsid w:val="36387127"/>
    <w:rsid w:val="368436BA"/>
    <w:rsid w:val="397505EE"/>
    <w:rsid w:val="3ADF0647"/>
    <w:rsid w:val="426A628B"/>
    <w:rsid w:val="4C28192D"/>
    <w:rsid w:val="529540B1"/>
    <w:rsid w:val="571B76E6"/>
    <w:rsid w:val="5BA35D03"/>
    <w:rsid w:val="67B803F0"/>
    <w:rsid w:val="6D732E63"/>
    <w:rsid w:val="6DAD0E04"/>
    <w:rsid w:val="6DCB6201"/>
    <w:rsid w:val="74EB5268"/>
    <w:rsid w:val="7D58063B"/>
    <w:rsid w:val="7F857B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paragraph" w:styleId="2">
    <w:name w:val="Normal (Web)"/>
    <w:basedOn w:val="1"/>
    <w:autoRedefine/>
    <w:qFormat/>
    <w:uiPriority w:val="0"/>
    <w:pPr>
      <w:spacing w:beforeAutospacing="1" w:afterAutospacing="1"/>
      <w:jc w:val="left"/>
    </w:pPr>
    <w:rPr>
      <w:rFonts w:cs="Times New Roman"/>
      <w:kern w:val="0"/>
      <w:sz w:val="24"/>
    </w:rPr>
  </w:style>
  <w:style w:type="table" w:styleId="4">
    <w:name w:val="Table Grid"/>
    <w:basedOn w:val="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4</Pages>
  <Words>1354</Words>
  <Characters>1450</Characters>
  <Lines>9</Lines>
  <Paragraphs>2</Paragraphs>
  <TotalTime>65</TotalTime>
  <ScaleCrop>false</ScaleCrop>
  <LinksUpToDate>false</LinksUpToDate>
  <CharactersWithSpaces>1451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00300537</cp:lastModifiedBy>
  <cp:lastPrinted>2024-04-08T03:01:00Z</cp:lastPrinted>
  <dcterms:modified xsi:type="dcterms:W3CDTF">2026-05-12T09:49:02Z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5353FAC5E0A0436ABF65DE13B8AF5E8D_13</vt:lpwstr>
  </property>
  <property fmtid="{D5CDD505-2E9C-101B-9397-08002B2CF9AE}" pid="4" name="KSOTemplateDocerSaveRecord">
    <vt:lpwstr>eyJoZGlkIjoiNTUzNzI0ODMyMmM2ZGJlMGEyY2I0YTk2MWY1Y2M0OTIiLCJ1c2VySWQiOiIxNjc5Nzc5NTU5In0=</vt:lpwstr>
  </property>
</Properties>
</file>