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hint="eastAsia" w:ascii="微软雅黑" w:hAnsi="微软雅黑" w:eastAsia="微软雅黑" w:cs="微软雅黑"/>
          <w:b w:val="0"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sz w:val="32"/>
          <w:szCs w:val="32"/>
        </w:rPr>
        <w:t>医学科技创新中心</w:t>
      </w:r>
    </w:p>
    <w:p>
      <w:pPr>
        <w:jc w:val="center"/>
        <w:textAlignment w:val="baseline"/>
        <w:rPr>
          <w:rFonts w:hint="eastAsia" w:ascii="微软雅黑" w:hAnsi="微软雅黑" w:eastAsia="微软雅黑" w:cs="微软雅黑"/>
          <w:b w:val="0"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sz w:val="32"/>
          <w:szCs w:val="32"/>
        </w:rPr>
        <w:t>2023年博士研究生招生录取方案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为切实做好2023年博士研究生招生录取工作，根据《山东第一医科大学（山东省医学科学院）2023年博士研究生招生简章》及学校招生录取工作方案，现将我单位2023年博士招生工作事项通知如下：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360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Style w:val="10"/>
          <w:rFonts w:hint="eastAsia" w:ascii="仿宋" w:hAnsi="仿宋" w:eastAsia="仿宋" w:cs="仿宋"/>
          <w:color w:val="333333"/>
          <w:sz w:val="28"/>
          <w:szCs w:val="28"/>
        </w:rPr>
        <w:t>一、组织领导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医学科技创新中心成立（简称“科创中心”）研究生招生工作领导小组，负责制定本单位博士招生方案和工作安排，组织博士招生工作全过程。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科创中心在本单位研究生招生工作领导小组的基础上，成立本单位博士生招生工作专班，统筹负责招生考核工作。单位主要负责人为第一责任人，对本单位博士生招生工作全面负责。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360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Style w:val="10"/>
          <w:rFonts w:hint="eastAsia" w:ascii="仿宋" w:hAnsi="仿宋" w:eastAsia="仿宋" w:cs="仿宋"/>
          <w:color w:val="333333"/>
          <w:sz w:val="28"/>
          <w:szCs w:val="28"/>
        </w:rPr>
        <w:t>二、招生方式及计划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科创中心2023年第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sz w:val="28"/>
          <w:szCs w:val="28"/>
        </w:rPr>
        <w:t>批博士招生计划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人，专业为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耳鼻咽喉科学</w:t>
      </w:r>
      <w:r>
        <w:rPr>
          <w:rFonts w:hint="eastAsia" w:ascii="仿宋" w:hAnsi="仿宋" w:eastAsia="仿宋" w:cs="仿宋"/>
          <w:sz w:val="28"/>
          <w:szCs w:val="28"/>
        </w:rPr>
        <w:t>1人，招生方式为申请-考核制。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临床检验诊断学</w:t>
      </w:r>
      <w:r>
        <w:rPr>
          <w:rFonts w:hint="eastAsia" w:ascii="仿宋" w:hAnsi="仿宋" w:eastAsia="仿宋" w:cs="仿宋"/>
          <w:sz w:val="28"/>
          <w:szCs w:val="28"/>
        </w:rPr>
        <w:t>1人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招生方式为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硕博连读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360"/>
        <w:rPr>
          <w:rStyle w:val="10"/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Style w:val="10"/>
          <w:rFonts w:hint="eastAsia" w:ascii="仿宋" w:hAnsi="仿宋" w:eastAsia="仿宋" w:cs="仿宋"/>
          <w:color w:val="333333"/>
          <w:sz w:val="28"/>
          <w:szCs w:val="28"/>
        </w:rPr>
        <w:t>报考条件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color w:val="000000"/>
          <w:szCs w:val="21"/>
          <w:lang w:val="en-US" w:eastAsia="zh-CN" w:bidi="ar"/>
        </w:rPr>
      </w:pPr>
      <w:r>
        <w:rPr>
          <w:rFonts w:hint="eastAsia" w:ascii="仿宋" w:hAnsi="仿宋" w:eastAsia="仿宋" w:cs="仿宋"/>
          <w:bCs/>
          <w:color w:val="000000"/>
          <w:szCs w:val="21"/>
          <w:lang w:val="en-US" w:eastAsia="zh-CN" w:bidi="ar"/>
        </w:rPr>
        <w:t>参照</w:t>
      </w:r>
      <w:r>
        <w:rPr>
          <w:rFonts w:hint="eastAsia" w:ascii="仿宋" w:hAnsi="仿宋" w:eastAsia="仿宋" w:cs="仿宋"/>
          <w:lang w:val="en-US" w:eastAsia="zh-CN"/>
        </w:rPr>
        <w:t>校（院）</w:t>
      </w:r>
      <w:r>
        <w:rPr>
          <w:rFonts w:hint="eastAsia" w:ascii="仿宋" w:hAnsi="仿宋" w:eastAsia="仿宋" w:cs="仿宋"/>
        </w:rPr>
        <w:t>202</w:t>
      </w:r>
      <w:r>
        <w:rPr>
          <w:rFonts w:hint="eastAsia" w:ascii="仿宋" w:hAnsi="仿宋" w:eastAsia="仿宋" w:cs="仿宋"/>
          <w:lang w:val="en-US"/>
        </w:rPr>
        <w:t>3</w:t>
      </w:r>
      <w:r>
        <w:rPr>
          <w:rFonts w:hint="eastAsia" w:ascii="仿宋" w:hAnsi="仿宋" w:eastAsia="仿宋" w:cs="仿宋"/>
        </w:rPr>
        <w:t>年博士研究生招生</w:t>
      </w:r>
      <w:r>
        <w:rPr>
          <w:rFonts w:hint="eastAsia" w:ascii="仿宋" w:hAnsi="仿宋" w:eastAsia="仿宋" w:cs="仿宋"/>
          <w:lang w:val="en-US" w:eastAsia="zh-CN"/>
        </w:rPr>
        <w:t>简章</w:t>
      </w:r>
      <w:r>
        <w:rPr>
          <w:rFonts w:hint="eastAsia" w:ascii="仿宋" w:hAnsi="仿宋" w:eastAsia="仿宋" w:cs="仿宋"/>
          <w:bCs/>
          <w:color w:val="000000"/>
          <w:szCs w:val="21"/>
          <w:lang w:val="en-US" w:eastAsia="zh-CN" w:bidi="ar"/>
        </w:rPr>
        <w:t>报考条件执行。成果认定时间自2020年1月1日起。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360"/>
        <w:rPr>
          <w:rStyle w:val="10"/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Style w:val="10"/>
          <w:rFonts w:hint="eastAsia" w:ascii="仿宋" w:hAnsi="仿宋" w:eastAsia="仿宋" w:cs="仿宋"/>
          <w:color w:val="333333"/>
          <w:sz w:val="28"/>
          <w:szCs w:val="28"/>
        </w:rPr>
        <w:t>四、材料审核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Style w:val="10"/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根据学校2023年博士研究生招生简章规定的各项要求，科创中心成立材料审核小组，对考生的申请材料进行评价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赋分</w:t>
      </w:r>
      <w:r>
        <w:rPr>
          <w:rFonts w:hint="eastAsia" w:ascii="仿宋" w:hAnsi="仿宋" w:eastAsia="仿宋" w:cs="仿宋"/>
          <w:sz w:val="28"/>
          <w:szCs w:val="28"/>
        </w:rPr>
        <w:t>。材料审核小组成员现场独立评分。材料审核小组要对审核结果负责。评分记录交办公室集中统一保管，任何人不得改动。打分过程全程录音录像。根据材料审核情况确定进入考核的人员名单，原则上参加考核人数应控制在招生计划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00%，进入考核人员名单经科创中心招生工作领导小组审定后公示，并通知相关考生。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360"/>
        <w:rPr>
          <w:rStyle w:val="10"/>
          <w:rFonts w:hint="eastAsia" w:ascii="仿宋" w:hAnsi="仿宋" w:eastAsia="仿宋" w:cs="仿宋"/>
          <w:sz w:val="28"/>
          <w:szCs w:val="28"/>
        </w:rPr>
      </w:pPr>
      <w:r>
        <w:rPr>
          <w:rStyle w:val="10"/>
          <w:rFonts w:hint="eastAsia" w:ascii="仿宋" w:hAnsi="仿宋" w:eastAsia="仿宋" w:cs="仿宋"/>
          <w:color w:val="333333"/>
          <w:sz w:val="28"/>
          <w:szCs w:val="28"/>
        </w:rPr>
        <w:t>五、单位考核方式及内容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本次博士招生采取</w:t>
      </w:r>
      <w:r>
        <w:rPr>
          <w:rFonts w:hint="eastAsia" w:ascii="仿宋" w:hAnsi="仿宋" w:eastAsia="仿宋" w:cs="仿宋"/>
          <w:b/>
          <w:sz w:val="28"/>
          <w:szCs w:val="28"/>
        </w:rPr>
        <w:t>线下考核</w:t>
      </w:r>
      <w:r>
        <w:rPr>
          <w:rFonts w:hint="eastAsia" w:ascii="仿宋" w:hAnsi="仿宋" w:eastAsia="仿宋" w:cs="仿宋"/>
          <w:sz w:val="28"/>
          <w:szCs w:val="28"/>
        </w:rPr>
        <w:t>方式。考核小组由5名以上专家组成（其中博导不少于3名）。考核全程录音录像。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（一）硕博连读考核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采取综合考核方式，一般采取综合答辩方式，重点考核考生思想政治素质品德、综合运用所学知识的能力、创新能力、科研潜质、外语应用能力、临床能力或实践能力等，对考生是否具备博士生培养的潜能和综合素质形成综合考核成绩。综合考核成绩满分100分，低于60分者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（二）申请-考核制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考核内容包括招生专业目录中公布的外国语、专业课及综合素质考核，每项满分100分。其中外国语和专业课考试采取翻译专业文献和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笔试作答</w:t>
      </w:r>
      <w:r>
        <w:rPr>
          <w:rFonts w:hint="eastAsia" w:ascii="仿宋" w:hAnsi="仿宋" w:eastAsia="仿宋" w:cs="仿宋"/>
          <w:sz w:val="28"/>
          <w:szCs w:val="28"/>
        </w:rPr>
        <w:t>专业知识的方式。综合素质考核成绩满分100分，含外国语测试20分、专业素养测试80分。专业素养考核要求进入考核的考生准备10分钟PPT汇报，汇报内容包括:①个人简介、科研经历和成果介绍；②拟从事研究领域前沿进展；③拟开展的研究工作设想等。考核小组就考生逻辑思维、学术素养、科研水平、创新能力等方面展开提问和考察。每生考核时长一般不少于20分钟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360"/>
        <w:rPr>
          <w:rStyle w:val="10"/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Style w:val="10"/>
          <w:rFonts w:hint="eastAsia" w:ascii="仿宋" w:hAnsi="仿宋" w:eastAsia="仿宋" w:cs="仿宋"/>
          <w:color w:val="333333"/>
          <w:sz w:val="28"/>
          <w:szCs w:val="28"/>
        </w:rPr>
        <w:t>单位考核时间地点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Style w:val="10"/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考核时间：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日-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日，地点：山东第一医科大学济南主校区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具体时间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地点</w:t>
      </w:r>
      <w:r>
        <w:rPr>
          <w:rFonts w:hint="eastAsia" w:ascii="仿宋" w:hAnsi="仿宋" w:eastAsia="仿宋" w:cs="仿宋"/>
          <w:sz w:val="28"/>
          <w:szCs w:val="28"/>
        </w:rPr>
        <w:t>另行通知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到考生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360"/>
        <w:rPr>
          <w:rStyle w:val="10"/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Style w:val="10"/>
          <w:rFonts w:hint="eastAsia" w:ascii="仿宋" w:hAnsi="仿宋" w:eastAsia="仿宋" w:cs="仿宋"/>
          <w:color w:val="333333"/>
          <w:sz w:val="28"/>
          <w:szCs w:val="28"/>
        </w:rPr>
        <w:t>七、录取成绩计算方式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请考核录取成绩由材料审核成绩、外语水平考核、专业课考核成绩、综合素质考核成绩四部分组成。成绩均折算成百分制，计算出录取成绩。录取成绩=（材料审核成绩*10%+（外语水平+专业课考核）/2*30%+综合素质考核*60%）。综合素质成绩低于60分者不予录取。按照报考导师考生成绩由高到低进行排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在考生与导师双向同意的志愿下，根据实际情况对剩余考生进行内部调剂。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医学科技创新中心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2023年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26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YZhongHeiKW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3825E9"/>
    <w:multiLevelType w:val="singleLevel"/>
    <w:tmpl w:val="9C3825E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A6E4EBE"/>
    <w:multiLevelType w:val="singleLevel"/>
    <w:tmpl w:val="FA6E4EBE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ZlYjFhZjlkZTQ0ODlhNjhlMzk2YWUzMTA3NTY3MGUifQ=="/>
  </w:docVars>
  <w:rsids>
    <w:rsidRoot w:val="00CE4865"/>
    <w:rsid w:val="00020313"/>
    <w:rsid w:val="00057C5E"/>
    <w:rsid w:val="000C37C9"/>
    <w:rsid w:val="000E3279"/>
    <w:rsid w:val="000E5D7F"/>
    <w:rsid w:val="001513D9"/>
    <w:rsid w:val="00170F3F"/>
    <w:rsid w:val="00191992"/>
    <w:rsid w:val="002F5C7D"/>
    <w:rsid w:val="003A3261"/>
    <w:rsid w:val="00412C40"/>
    <w:rsid w:val="004F754C"/>
    <w:rsid w:val="005902DF"/>
    <w:rsid w:val="005B47BC"/>
    <w:rsid w:val="005E40A4"/>
    <w:rsid w:val="006326C9"/>
    <w:rsid w:val="006B61E8"/>
    <w:rsid w:val="006C37C0"/>
    <w:rsid w:val="007716D0"/>
    <w:rsid w:val="00786757"/>
    <w:rsid w:val="007A4E57"/>
    <w:rsid w:val="00976CCB"/>
    <w:rsid w:val="009A0485"/>
    <w:rsid w:val="009D3D2F"/>
    <w:rsid w:val="009F028D"/>
    <w:rsid w:val="00A8537D"/>
    <w:rsid w:val="00BC2FE6"/>
    <w:rsid w:val="00BD3C9D"/>
    <w:rsid w:val="00C4383D"/>
    <w:rsid w:val="00C62427"/>
    <w:rsid w:val="00CA494E"/>
    <w:rsid w:val="00CB4890"/>
    <w:rsid w:val="00CD3E52"/>
    <w:rsid w:val="00CE2380"/>
    <w:rsid w:val="00CE4865"/>
    <w:rsid w:val="00D01D5D"/>
    <w:rsid w:val="00D74915"/>
    <w:rsid w:val="00E4448A"/>
    <w:rsid w:val="00E67557"/>
    <w:rsid w:val="00EB156F"/>
    <w:rsid w:val="00EB2D2B"/>
    <w:rsid w:val="00EF7558"/>
    <w:rsid w:val="00F72E5D"/>
    <w:rsid w:val="00F73106"/>
    <w:rsid w:val="00F929BB"/>
    <w:rsid w:val="22EE5862"/>
    <w:rsid w:val="454325FE"/>
    <w:rsid w:val="4EEF3491"/>
    <w:rsid w:val="55095541"/>
    <w:rsid w:val="5AF340DA"/>
    <w:rsid w:val="626A5C1C"/>
    <w:rsid w:val="6A444121"/>
    <w:rsid w:val="6EBC3174"/>
    <w:rsid w:val="71DB3AC2"/>
    <w:rsid w:val="758B206A"/>
    <w:rsid w:val="75E6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600" w:after="600" w:line="400" w:lineRule="exact"/>
      <w:ind w:firstLine="200" w:firstLineChars="200"/>
      <w:jc w:val="center"/>
      <w:outlineLvl w:val="0"/>
    </w:pPr>
    <w:rPr>
      <w:rFonts w:ascii="Times New Roman" w:hAnsi="Times New Roman" w:eastAsia="黑体" w:cs="宋体"/>
      <w:bCs/>
      <w:kern w:val="36"/>
      <w:sz w:val="30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8"/>
      <w:szCs w:val="28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标题 1 Char"/>
    <w:basedOn w:val="9"/>
    <w:link w:val="2"/>
    <w:qFormat/>
    <w:uiPriority w:val="9"/>
    <w:rPr>
      <w:rFonts w:ascii="Times New Roman" w:hAnsi="Times New Roman" w:eastAsia="黑体" w:cs="宋体"/>
      <w:bCs/>
      <w:kern w:val="36"/>
      <w:sz w:val="30"/>
      <w:szCs w:val="48"/>
    </w:rPr>
  </w:style>
  <w:style w:type="character" w:customStyle="1" w:styleId="12">
    <w:name w:val="fontstyle01"/>
    <w:basedOn w:val="9"/>
    <w:uiPriority w:val="0"/>
    <w:rPr>
      <w:rFonts w:hint="default" w:ascii="HYZhongHeiKW" w:hAnsi="HYZhongHeiKW"/>
      <w:color w:val="000008"/>
      <w:sz w:val="32"/>
      <w:szCs w:val="32"/>
    </w:rPr>
  </w:style>
  <w:style w:type="character" w:customStyle="1" w:styleId="13">
    <w:name w:val="fontstyle21"/>
    <w:basedOn w:val="9"/>
    <w:uiPriority w:val="0"/>
    <w:rPr>
      <w:rFonts w:hint="default" w:ascii="FZFSK--GBK1-0" w:hAnsi="FZFSK--GBK1-0"/>
      <w:color w:val="000000"/>
      <w:sz w:val="24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1236</Words>
  <Characters>1297</Characters>
  <Lines>8</Lines>
  <Paragraphs>2</Paragraphs>
  <TotalTime>4</TotalTime>
  <ScaleCrop>false</ScaleCrop>
  <LinksUpToDate>false</LinksUpToDate>
  <CharactersWithSpaces>1307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2023-02-13T15:27:00Z</dcterms:created>
  <dc:creator>陈 宁</dc:creator>
  <cp:lastModifiedBy>西子妈咪</cp:lastModifiedBy>
  <cp:lastPrinted>2023-04-24T07:59:00Z</cp:lastPrinted>
  <dcterms:modified xsi:type="dcterms:W3CDTF">2023-04-26T09:08:00Z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F0FCF57A2D964FACB252B2771A50E70F_13</vt:lpwstr>
  </property>
</Properties>
</file>