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FFDB" w14:textId="5E91879B" w:rsidR="00AF5AEB" w:rsidRPr="00900D4D" w:rsidRDefault="00AF5AEB" w:rsidP="00AF5AEB">
      <w:pPr>
        <w:spacing w:after="240"/>
        <w:jc w:val="center"/>
        <w:rPr>
          <w:rFonts w:ascii="黑体" w:eastAsia="黑体" w:hAnsi="仿宋"/>
          <w:b/>
          <w:sz w:val="32"/>
          <w:szCs w:val="32"/>
        </w:rPr>
      </w:pPr>
      <w:r w:rsidRPr="00900D4D">
        <w:rPr>
          <w:rFonts w:ascii="黑体" w:eastAsia="黑体" w:hAnsi="仿宋" w:hint="eastAsia"/>
          <w:b/>
          <w:sz w:val="32"/>
          <w:szCs w:val="32"/>
        </w:rPr>
        <w:t>华北电力大学20</w:t>
      </w:r>
      <w:r>
        <w:rPr>
          <w:rFonts w:ascii="黑体" w:eastAsia="黑体" w:hAnsi="仿宋"/>
          <w:b/>
          <w:sz w:val="32"/>
          <w:szCs w:val="32"/>
        </w:rPr>
        <w:t>2</w:t>
      </w:r>
      <w:r w:rsidR="008C618A">
        <w:rPr>
          <w:rFonts w:ascii="黑体" w:eastAsia="黑体" w:hAnsi="仿宋"/>
          <w:b/>
          <w:sz w:val="32"/>
          <w:szCs w:val="32"/>
        </w:rPr>
        <w:t>4</w:t>
      </w:r>
      <w:r w:rsidRPr="00900D4D">
        <w:rPr>
          <w:rFonts w:ascii="黑体" w:eastAsia="黑体" w:hAnsi="仿宋" w:hint="eastAsia"/>
          <w:b/>
          <w:sz w:val="32"/>
          <w:szCs w:val="32"/>
        </w:rPr>
        <w:t>年博士生入学考试初试科目考试大纲</w:t>
      </w:r>
    </w:p>
    <w:p w14:paraId="58AB3585" w14:textId="4A4183DE" w:rsidR="00AF5AEB" w:rsidRPr="004E3596" w:rsidRDefault="00AF5AEB" w:rsidP="00AF5AEB">
      <w:pPr>
        <w:rPr>
          <w:rFonts w:ascii="楷体_GB2312" w:eastAsia="楷体_GB2312" w:hAnsi="仿宋"/>
          <w:sz w:val="28"/>
          <w:szCs w:val="28"/>
        </w:rPr>
      </w:pPr>
      <w:r w:rsidRPr="00670FAC">
        <w:rPr>
          <w:rFonts w:ascii="仿宋_GB2312" w:eastAsia="仿宋_GB2312" w:hAnsi="仿宋" w:hint="eastAsia"/>
          <w:sz w:val="28"/>
          <w:szCs w:val="28"/>
        </w:rPr>
        <w:t>科目名称：</w:t>
      </w:r>
      <w:r w:rsidR="00F37C9F" w:rsidRPr="00F37C9F">
        <w:rPr>
          <w:rFonts w:ascii="仿宋_GB2312" w:eastAsia="仿宋_GB2312" w:hAnsi="仿宋" w:hint="eastAsia"/>
          <w:sz w:val="28"/>
          <w:szCs w:val="28"/>
        </w:rPr>
        <w:t>电力系统继电保护</w:t>
      </w:r>
    </w:p>
    <w:p w14:paraId="3B311BAA" w14:textId="77777777" w:rsidR="00AF5AEB" w:rsidRPr="00DC7CEB" w:rsidRDefault="00AF5AEB" w:rsidP="00AF5AEB">
      <w:pPr>
        <w:ind w:left="337" w:hangingChars="120" w:hanging="337"/>
        <w:rPr>
          <w:rFonts w:ascii="仿宋_GB2312" w:eastAsia="仿宋_GB2312" w:hAnsi="仿宋"/>
          <w:b/>
          <w:sz w:val="28"/>
          <w:szCs w:val="28"/>
        </w:rPr>
      </w:pPr>
      <w:r w:rsidRPr="00DC7CEB">
        <w:rPr>
          <w:rFonts w:ascii="仿宋_GB2312" w:eastAsia="仿宋_GB2312" w:hAnsi="仿宋" w:hint="eastAsia"/>
          <w:b/>
          <w:sz w:val="28"/>
          <w:szCs w:val="28"/>
        </w:rPr>
        <w:t>一、</w:t>
      </w:r>
      <w:r w:rsidRPr="00DC7CEB">
        <w:rPr>
          <w:rFonts w:ascii="仿宋_GB2312" w:eastAsia="仿宋_GB2312" w:hAnsi="仿宋" w:hint="eastAsia"/>
          <w:b/>
          <w:sz w:val="28"/>
          <w:szCs w:val="28"/>
        </w:rPr>
        <w:tab/>
        <w:t>考试总体要求</w:t>
      </w:r>
    </w:p>
    <w:p w14:paraId="1DE3987E" w14:textId="77777777" w:rsidR="00F37C9F" w:rsidRDefault="00F37C9F" w:rsidP="00F37C9F">
      <w:pPr>
        <w:ind w:firstLineChars="192" w:firstLine="538"/>
        <w:rPr>
          <w:rFonts w:ascii="仿宋_GB2312" w:eastAsia="仿宋_GB2312" w:hAnsi="仿宋"/>
          <w:color w:val="000000"/>
          <w:sz w:val="28"/>
          <w:szCs w:val="28"/>
        </w:rPr>
      </w:pPr>
      <w:r>
        <w:rPr>
          <w:rFonts w:ascii="仿宋_GB2312" w:eastAsia="仿宋_GB2312" w:hAnsi="仿宋" w:hint="eastAsia"/>
          <w:color w:val="000000"/>
          <w:sz w:val="28"/>
          <w:szCs w:val="28"/>
        </w:rPr>
        <w:t>掌握电力系统继电保护的基本原理、整定原则、影响正确动作的因素及对策，具备熟练运用电力系统故障分析知识分析继电保护运行特性问题的能力。掌握微机继电保护的数据采集和输入、输出回路等基本硬件实现方法，常用算法和提高继电保护性能的方法、手段。了解继电保护领域的研究热点和发展动向。</w:t>
      </w:r>
    </w:p>
    <w:p w14:paraId="05DF7047" w14:textId="77777777" w:rsidR="00AF5AEB" w:rsidRPr="00DC7CEB" w:rsidRDefault="00AF5AEB" w:rsidP="00AF5AEB">
      <w:pPr>
        <w:ind w:left="337" w:hangingChars="120" w:hanging="337"/>
        <w:rPr>
          <w:rFonts w:ascii="仿宋_GB2312" w:eastAsia="仿宋_GB2312" w:hAnsi="仿宋"/>
          <w:b/>
          <w:sz w:val="28"/>
          <w:szCs w:val="28"/>
        </w:rPr>
      </w:pPr>
      <w:r w:rsidRPr="00DC7CEB">
        <w:rPr>
          <w:rFonts w:ascii="仿宋_GB2312" w:eastAsia="仿宋_GB2312" w:hAnsi="仿宋" w:hint="eastAsia"/>
          <w:b/>
          <w:sz w:val="28"/>
          <w:szCs w:val="28"/>
        </w:rPr>
        <w:t>二、</w:t>
      </w:r>
      <w:r w:rsidRPr="00DC7CEB">
        <w:rPr>
          <w:rFonts w:ascii="仿宋_GB2312" w:eastAsia="仿宋_GB2312" w:hAnsi="仿宋" w:hint="eastAsia"/>
          <w:b/>
          <w:sz w:val="28"/>
          <w:szCs w:val="28"/>
        </w:rPr>
        <w:tab/>
        <w:t>考试内容</w:t>
      </w:r>
    </w:p>
    <w:p w14:paraId="49AE9087" w14:textId="77777777" w:rsidR="00F37C9F" w:rsidRDefault="00F37C9F" w:rsidP="00F37C9F">
      <w:pPr>
        <w:ind w:firstLineChars="192" w:firstLine="538"/>
        <w:rPr>
          <w:rFonts w:ascii="仿宋_GB2312" w:eastAsia="仿宋_GB2312" w:hAnsi="仿宋"/>
          <w:color w:val="000000"/>
          <w:sz w:val="28"/>
          <w:szCs w:val="28"/>
        </w:rPr>
      </w:pPr>
      <w:r>
        <w:rPr>
          <w:rFonts w:ascii="仿宋_GB2312" w:eastAsia="仿宋_GB2312" w:hAnsi="仿宋" w:hint="eastAsia"/>
          <w:color w:val="000000"/>
          <w:sz w:val="28"/>
          <w:szCs w:val="28"/>
        </w:rPr>
        <w:t>1．基本原理：电流保护、零序电流保护、距离保护、纵联保护、自动重合闸、变压器差动保护等。</w:t>
      </w:r>
    </w:p>
    <w:p w14:paraId="48EB7750" w14:textId="77777777" w:rsidR="00F37C9F" w:rsidRDefault="00F37C9F" w:rsidP="00F37C9F">
      <w:pPr>
        <w:ind w:firstLineChars="192" w:firstLine="538"/>
        <w:rPr>
          <w:rFonts w:ascii="仿宋_GB2312" w:eastAsia="仿宋_GB2312" w:hAnsi="仿宋"/>
          <w:color w:val="000000"/>
          <w:sz w:val="28"/>
          <w:szCs w:val="28"/>
        </w:rPr>
      </w:pPr>
      <w:r>
        <w:rPr>
          <w:rFonts w:ascii="仿宋_GB2312" w:eastAsia="仿宋_GB2312" w:hAnsi="仿宋" w:hint="eastAsia"/>
          <w:color w:val="000000"/>
          <w:sz w:val="28"/>
          <w:szCs w:val="28"/>
        </w:rPr>
        <w:t>2．整定计算：电流保护、零序电流保护、距离保护、纵联保护、自动重合闸、变压器差动保护的整定计算，灵敏度校验等。</w:t>
      </w:r>
    </w:p>
    <w:p w14:paraId="0C4D23F6" w14:textId="77777777" w:rsidR="00F37C9F" w:rsidRDefault="00F37C9F" w:rsidP="00F37C9F">
      <w:pPr>
        <w:ind w:firstLineChars="192" w:firstLine="538"/>
        <w:rPr>
          <w:rFonts w:ascii="仿宋_GB2312" w:eastAsia="仿宋_GB2312" w:hAnsi="仿宋"/>
          <w:color w:val="000000"/>
          <w:sz w:val="28"/>
          <w:szCs w:val="28"/>
        </w:rPr>
      </w:pPr>
      <w:r>
        <w:rPr>
          <w:rFonts w:ascii="仿宋_GB2312" w:eastAsia="仿宋_GB2312" w:hAnsi="仿宋" w:hint="eastAsia"/>
          <w:color w:val="000000"/>
          <w:sz w:val="28"/>
          <w:szCs w:val="28"/>
        </w:rPr>
        <w:t>3．故障及保护特性分析：各种故障情况下保护及相关元件，如阻抗、方向、选相、振荡闭锁等元件的动作行为分析。</w:t>
      </w:r>
    </w:p>
    <w:p w14:paraId="06695D6D" w14:textId="77777777" w:rsidR="00F37C9F" w:rsidRDefault="00F37C9F" w:rsidP="00F37C9F">
      <w:pPr>
        <w:ind w:firstLineChars="192" w:firstLine="538"/>
        <w:rPr>
          <w:rFonts w:ascii="仿宋_GB2312" w:eastAsia="仿宋_GB2312" w:hAnsi="仿宋"/>
          <w:color w:val="000000"/>
          <w:sz w:val="28"/>
          <w:szCs w:val="28"/>
        </w:rPr>
      </w:pPr>
      <w:r>
        <w:rPr>
          <w:rFonts w:ascii="仿宋_GB2312" w:eastAsia="仿宋_GB2312" w:hAnsi="仿宋" w:hint="eastAsia"/>
          <w:color w:val="000000"/>
          <w:sz w:val="28"/>
          <w:szCs w:val="28"/>
        </w:rPr>
        <w:t>4．微机保护：微机保护的一般实现方法，常用算法，提高保护性能的解决方法。</w:t>
      </w:r>
    </w:p>
    <w:p w14:paraId="1331D5E6" w14:textId="77777777" w:rsidR="00F37C9F" w:rsidRDefault="00F37C9F" w:rsidP="00F37C9F">
      <w:pPr>
        <w:ind w:firstLineChars="192" w:firstLine="538"/>
        <w:rPr>
          <w:rFonts w:ascii="仿宋_GB2312" w:eastAsia="仿宋_GB2312" w:hAnsi="仿宋"/>
          <w:color w:val="000000"/>
          <w:sz w:val="28"/>
          <w:szCs w:val="28"/>
        </w:rPr>
      </w:pPr>
      <w:r>
        <w:rPr>
          <w:rFonts w:ascii="仿宋_GB2312" w:eastAsia="仿宋_GB2312" w:hAnsi="仿宋" w:hint="eastAsia"/>
          <w:color w:val="000000"/>
          <w:sz w:val="28"/>
          <w:szCs w:val="28"/>
        </w:rPr>
        <w:t>5．继电保护领域的研究热点和发展动向。</w:t>
      </w:r>
    </w:p>
    <w:p w14:paraId="0C3BAC80" w14:textId="77777777" w:rsidR="00AF5AEB" w:rsidRPr="00DC7CEB" w:rsidRDefault="00AF5AEB" w:rsidP="00AF5AEB">
      <w:pPr>
        <w:ind w:left="337" w:hangingChars="120" w:hanging="337"/>
        <w:rPr>
          <w:rFonts w:ascii="仿宋_GB2312" w:eastAsia="仿宋_GB2312" w:hAnsi="仿宋"/>
          <w:b/>
          <w:sz w:val="28"/>
          <w:szCs w:val="28"/>
        </w:rPr>
      </w:pPr>
      <w:r w:rsidRPr="00DC7CEB">
        <w:rPr>
          <w:rFonts w:ascii="仿宋_GB2312" w:eastAsia="仿宋_GB2312" w:hAnsi="仿宋" w:hint="eastAsia"/>
          <w:b/>
          <w:sz w:val="28"/>
          <w:szCs w:val="28"/>
        </w:rPr>
        <w:t>三、</w:t>
      </w:r>
      <w:r w:rsidRPr="00DC7CEB">
        <w:rPr>
          <w:rFonts w:ascii="仿宋_GB2312" w:eastAsia="仿宋_GB2312" w:hAnsi="仿宋" w:hint="eastAsia"/>
          <w:b/>
          <w:sz w:val="28"/>
          <w:szCs w:val="28"/>
        </w:rPr>
        <w:tab/>
        <w:t>考试题型</w:t>
      </w:r>
    </w:p>
    <w:p w14:paraId="5579B90B" w14:textId="77777777" w:rsidR="00F37C9F" w:rsidRDefault="00F37C9F" w:rsidP="00F37C9F">
      <w:pPr>
        <w:ind w:firstLineChars="192" w:firstLine="538"/>
        <w:rPr>
          <w:rFonts w:ascii="仿宋_GB2312" w:eastAsia="仿宋_GB2312" w:hAnsi="仿宋"/>
          <w:color w:val="000000"/>
          <w:sz w:val="28"/>
          <w:szCs w:val="28"/>
        </w:rPr>
      </w:pPr>
      <w:r>
        <w:rPr>
          <w:rFonts w:ascii="仿宋_GB2312" w:eastAsia="仿宋_GB2312" w:hAnsi="仿宋" w:hint="eastAsia"/>
          <w:color w:val="000000"/>
          <w:sz w:val="28"/>
          <w:szCs w:val="28"/>
        </w:rPr>
        <w:t>简答题、计算题、分析题、叙述题。</w:t>
      </w:r>
    </w:p>
    <w:p w14:paraId="2DDAD34E" w14:textId="77777777" w:rsidR="00AF5AEB" w:rsidRPr="00437DB4" w:rsidRDefault="00AF5AEB" w:rsidP="00AF5AEB">
      <w:pPr>
        <w:ind w:left="337" w:hangingChars="120" w:hanging="337"/>
        <w:rPr>
          <w:rFonts w:ascii="仿宋_GB2312" w:eastAsia="仿宋_GB2312" w:hAnsi="仿宋"/>
          <w:b/>
          <w:sz w:val="28"/>
          <w:szCs w:val="28"/>
        </w:rPr>
      </w:pPr>
      <w:r>
        <w:rPr>
          <w:rFonts w:ascii="仿宋_GB2312" w:eastAsia="仿宋_GB2312" w:hAnsi="仿宋" w:hint="eastAsia"/>
          <w:b/>
          <w:sz w:val="28"/>
          <w:szCs w:val="28"/>
        </w:rPr>
        <w:t>四</w:t>
      </w:r>
      <w:r w:rsidRPr="00437DB4">
        <w:rPr>
          <w:rFonts w:ascii="仿宋_GB2312" w:eastAsia="仿宋_GB2312" w:hAnsi="仿宋" w:hint="eastAsia"/>
          <w:b/>
          <w:sz w:val="28"/>
          <w:szCs w:val="28"/>
        </w:rPr>
        <w:t>、</w:t>
      </w:r>
      <w:r w:rsidRPr="00437DB4">
        <w:rPr>
          <w:rFonts w:ascii="仿宋_GB2312" w:eastAsia="仿宋_GB2312" w:hAnsi="仿宋" w:hint="eastAsia"/>
          <w:b/>
          <w:sz w:val="28"/>
          <w:szCs w:val="28"/>
        </w:rPr>
        <w:tab/>
        <w:t>参考书目</w:t>
      </w:r>
    </w:p>
    <w:p w14:paraId="3EE91DB2" w14:textId="76BCC96A" w:rsidR="00AF5AEB" w:rsidRPr="00F37C9F" w:rsidRDefault="00F37C9F" w:rsidP="00F37C9F">
      <w:pPr>
        <w:ind w:firstLineChars="192" w:firstLine="538"/>
        <w:rPr>
          <w:rFonts w:ascii="仿宋_GB2312" w:eastAsia="仿宋_GB2312" w:hAnsi="仿宋"/>
          <w:color w:val="000000"/>
          <w:sz w:val="28"/>
          <w:szCs w:val="28"/>
        </w:rPr>
      </w:pPr>
      <w:r w:rsidRPr="00F37C9F">
        <w:rPr>
          <w:rFonts w:ascii="仿宋_GB2312" w:eastAsia="仿宋_GB2312" w:hAnsi="仿宋" w:hint="eastAsia"/>
          <w:color w:val="000000"/>
          <w:sz w:val="28"/>
          <w:szCs w:val="28"/>
        </w:rPr>
        <w:t>《电力系统继电保护》、《电力系统微机保护》</w:t>
      </w:r>
    </w:p>
    <w:sectPr w:rsidR="00AF5AEB" w:rsidRPr="00F37C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BAB1" w14:textId="77777777" w:rsidR="00BD4E0A" w:rsidRDefault="00BD4E0A" w:rsidP="00AF5AEB">
      <w:pPr>
        <w:spacing w:line="240" w:lineRule="auto"/>
      </w:pPr>
      <w:r>
        <w:separator/>
      </w:r>
    </w:p>
  </w:endnote>
  <w:endnote w:type="continuationSeparator" w:id="0">
    <w:p w14:paraId="5B1A388B" w14:textId="77777777" w:rsidR="00BD4E0A" w:rsidRDefault="00BD4E0A" w:rsidP="00AF5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099E" w14:textId="77777777" w:rsidR="00BD4E0A" w:rsidRDefault="00BD4E0A" w:rsidP="00AF5AEB">
      <w:pPr>
        <w:spacing w:line="240" w:lineRule="auto"/>
      </w:pPr>
      <w:r>
        <w:separator/>
      </w:r>
    </w:p>
  </w:footnote>
  <w:footnote w:type="continuationSeparator" w:id="0">
    <w:p w14:paraId="5EA4BFED" w14:textId="77777777" w:rsidR="00BD4E0A" w:rsidRDefault="00BD4E0A" w:rsidP="00AF5A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E7"/>
    <w:rsid w:val="000B5BB0"/>
    <w:rsid w:val="00426597"/>
    <w:rsid w:val="005307D2"/>
    <w:rsid w:val="005C0F93"/>
    <w:rsid w:val="008C618A"/>
    <w:rsid w:val="00AF5AEB"/>
    <w:rsid w:val="00B230E7"/>
    <w:rsid w:val="00BD4E0A"/>
    <w:rsid w:val="00DF65A3"/>
    <w:rsid w:val="00F3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BB7B"/>
  <w15:chartTrackingRefBased/>
  <w15:docId w15:val="{A0E32EEB-B936-4F2D-A4D0-0F3B7034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AEB"/>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AEB"/>
    <w:pPr>
      <w:widowControl w:val="0"/>
      <w:pBdr>
        <w:bottom w:val="single" w:sz="6" w:space="1" w:color="auto"/>
      </w:pBdr>
      <w:tabs>
        <w:tab w:val="center" w:pos="4153"/>
        <w:tab w:val="right" w:pos="8306"/>
      </w:tabs>
      <w:snapToGrid w:val="0"/>
      <w:spacing w:line="240" w:lineRule="auto"/>
      <w:ind w:left="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F5AEB"/>
    <w:rPr>
      <w:sz w:val="18"/>
      <w:szCs w:val="18"/>
    </w:rPr>
  </w:style>
  <w:style w:type="paragraph" w:styleId="a5">
    <w:name w:val="footer"/>
    <w:basedOn w:val="a"/>
    <w:link w:val="a6"/>
    <w:uiPriority w:val="99"/>
    <w:unhideWhenUsed/>
    <w:rsid w:val="00AF5AEB"/>
    <w:pPr>
      <w:widowControl w:val="0"/>
      <w:tabs>
        <w:tab w:val="center" w:pos="4153"/>
        <w:tab w:val="right" w:pos="8306"/>
      </w:tabs>
      <w:snapToGrid w:val="0"/>
      <w:spacing w:line="240" w:lineRule="auto"/>
      <w:ind w:left="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F5A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394</Characters>
  <Application>Microsoft Office Word</Application>
  <DocSecurity>0</DocSecurity>
  <Lines>3</Lines>
  <Paragraphs>1</Paragraphs>
  <ScaleCrop>false</ScaleCrop>
  <Company>Microsoft</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DELL</cp:lastModifiedBy>
  <cp:revision>5</cp:revision>
  <dcterms:created xsi:type="dcterms:W3CDTF">2022-09-02T02:24:00Z</dcterms:created>
  <dcterms:modified xsi:type="dcterms:W3CDTF">2023-10-16T02:41:00Z</dcterms:modified>
</cp:coreProperties>
</file>