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8E9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微软雅黑" w:hAnsi="微软雅黑" w:eastAsia="微软雅黑" w:cs="微软雅黑"/>
          <w:i w:val="0"/>
          <w:iCs w:val="0"/>
          <w:caps w:val="0"/>
          <w:color w:val="666666"/>
          <w:spacing w:val="0"/>
          <w:sz w:val="24"/>
          <w:szCs w:val="24"/>
        </w:rPr>
      </w:pPr>
      <w:r>
        <w:rPr>
          <w:rFonts w:ascii="方正小标宋_GBK" w:hAnsi="方正小标宋_GBK" w:eastAsia="方正小标宋_GBK" w:cs="方正小标宋_GBK"/>
          <w:i w:val="0"/>
          <w:iCs w:val="0"/>
          <w:caps w:val="0"/>
          <w:color w:val="666666"/>
          <w:spacing w:val="0"/>
          <w:sz w:val="44"/>
          <w:szCs w:val="44"/>
          <w:bdr w:val="none" w:color="auto" w:sz="0" w:space="0"/>
          <w:shd w:val="clear" w:fill="FFFFFF"/>
        </w:rPr>
        <w:t>西南政法大学国家安全学院</w:t>
      </w:r>
    </w:p>
    <w:p w14:paraId="2AEA23B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44"/>
          <w:szCs w:val="44"/>
          <w:bdr w:val="none" w:color="auto" w:sz="0" w:space="0"/>
          <w:shd w:val="clear" w:fill="FFFFFF"/>
        </w:rPr>
        <w:t>2025</w:t>
      </w:r>
      <w:r>
        <w:rPr>
          <w:rFonts w:hint="default" w:ascii="方正小标宋_GBK" w:hAnsi="方正小标宋_GBK" w:eastAsia="方正小标宋_GBK" w:cs="方正小标宋_GBK"/>
          <w:i w:val="0"/>
          <w:iCs w:val="0"/>
          <w:caps w:val="0"/>
          <w:color w:val="666666"/>
          <w:spacing w:val="0"/>
          <w:sz w:val="44"/>
          <w:szCs w:val="44"/>
          <w:bdr w:val="none" w:color="auto" w:sz="0" w:space="0"/>
          <w:shd w:val="clear" w:fill="FFFFFF"/>
        </w:rPr>
        <w:t>年博士研究生招生工作实施细则</w:t>
      </w:r>
    </w:p>
    <w:p w14:paraId="2DFD7F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666666"/>
          <w:spacing w:val="0"/>
          <w:sz w:val="24"/>
          <w:szCs w:val="24"/>
        </w:rPr>
      </w:pPr>
      <w:r>
        <w:rPr>
          <w:rFonts w:ascii="方正楷体_GBK" w:hAnsi="方正楷体_GBK" w:eastAsia="方正楷体_GBK" w:cs="方正楷体_GBK"/>
          <w:i w:val="0"/>
          <w:iCs w:val="0"/>
          <w:caps w:val="0"/>
          <w:color w:val="666666"/>
          <w:spacing w:val="0"/>
          <w:sz w:val="32"/>
          <w:szCs w:val="32"/>
          <w:bdr w:val="none" w:color="auto" w:sz="0" w:space="0"/>
          <w:shd w:val="clear" w:fill="FFFFFF"/>
        </w:rPr>
        <w:t>（第二批）</w:t>
      </w:r>
    </w:p>
    <w:p w14:paraId="5ABBD8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ascii="方正仿宋_GBK" w:hAnsi="方正仿宋_GBK" w:eastAsia="方正仿宋_GBK" w:cs="方正仿宋_GBK"/>
          <w:i w:val="0"/>
          <w:iCs w:val="0"/>
          <w:caps w:val="0"/>
          <w:color w:val="666666"/>
          <w:spacing w:val="0"/>
          <w:sz w:val="32"/>
          <w:szCs w:val="32"/>
          <w:bdr w:val="none" w:color="auto" w:sz="0" w:space="0"/>
          <w:shd w:val="clear" w:fill="FFFFFF"/>
        </w:rPr>
        <w:t>根据学校《西南政法大学</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年博士研究生招生章程》（以下简称“学校招生章程”），结合国家安全学院具体情况，特制定本年度博士研究生招生工作实施细则。</w:t>
      </w:r>
    </w:p>
    <w:p w14:paraId="09A106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ascii="黑体" w:hAnsi="宋体" w:eastAsia="黑体" w:cs="黑体"/>
          <w:i w:val="0"/>
          <w:iCs w:val="0"/>
          <w:caps w:val="0"/>
          <w:color w:val="666666"/>
          <w:spacing w:val="0"/>
          <w:sz w:val="32"/>
          <w:szCs w:val="32"/>
          <w:bdr w:val="none" w:color="auto" w:sz="0" w:space="0"/>
          <w:shd w:val="clear" w:fill="FFFFFF"/>
        </w:rPr>
        <w:t>一、培养目标和选拔原则</w:t>
      </w:r>
    </w:p>
    <w:p w14:paraId="1CAFE5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217C91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二、工作职责</w:t>
      </w:r>
    </w:p>
    <w:p w14:paraId="5C91F49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3E79DA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三、招生目录</w:t>
      </w:r>
    </w:p>
    <w:p w14:paraId="65362B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学院</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年第二批次拟招收“申请</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考核”制全日制博士研究生</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13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名，招生专业（方向）包括国家安全学、政治安全（研究方向）。各专业指导教师及招生计划请查看学院</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年博士研究生招生专业目录（附件）。</w:t>
      </w:r>
    </w:p>
    <w:p w14:paraId="4DA0B63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各专业招生人数仅供参考，实际招生人数将根据学校</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年下达的招生计划及各专业生源情况进行机动调整。</w:t>
      </w:r>
    </w:p>
    <w:p w14:paraId="198404E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四、申请条件和要求</w:t>
      </w:r>
    </w:p>
    <w:p w14:paraId="474518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申请人应同时符合下列条件：</w:t>
      </w:r>
    </w:p>
    <w:p w14:paraId="37C2EE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（一）学校招生章程“三、报考条件”的要求。</w:t>
      </w:r>
    </w:p>
    <w:p w14:paraId="163880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（二）定向就业考生及同等学力考生还须符合下列条件之一：</w:t>
      </w:r>
    </w:p>
    <w:p w14:paraId="3468476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校定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C </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类以上与所报考学科相关的智库成果</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篇（第一作者，原件）；</w:t>
      </w:r>
    </w:p>
    <w:p w14:paraId="0CF6228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在</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CSSCI</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来源期刊、来源集刊或校定</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C</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类以上刊物上发表与所报考学科相关的学术论文</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篇</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第一作者，刊物原件</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w:t>
      </w:r>
    </w:p>
    <w:p w14:paraId="01E034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校定</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C</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类以上与所报考学科相关的专著</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本（独著）；</w:t>
      </w:r>
    </w:p>
    <w:p w14:paraId="361D5D7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上述成果须为近</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年成果，成果取得时间在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2020</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月</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日至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5 </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月</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日期间内。</w:t>
      </w:r>
    </w:p>
    <w:p w14:paraId="6FC8782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上述成果由学校根据相关文件进行认定。</w:t>
      </w:r>
    </w:p>
    <w:p w14:paraId="52285A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（三）外语水平条件</w:t>
      </w:r>
    </w:p>
    <w:p w14:paraId="3117C4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符合下列情形之一，可申请外语免试（考生须按网上报名系统要求申请外语免试并提交相应材料。如未申请或申请未通过，则需参加外语水平考试）：</w:t>
      </w:r>
    </w:p>
    <w:p w14:paraId="37BE5E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）英语证明：</w:t>
      </w:r>
    </w:p>
    <w:p w14:paraId="7E5AA3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A.</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雅思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6.5 </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以上；</w:t>
      </w:r>
    </w:p>
    <w:p w14:paraId="7C5E909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B.</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托福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90 </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分以上；</w:t>
      </w:r>
    </w:p>
    <w:p w14:paraId="241E91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C.</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国家英语专业四级以上考试合格证书；</w:t>
      </w:r>
    </w:p>
    <w:p w14:paraId="4CD41EF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D.</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在英语为母语（国语）的国家取得硕士及以上学位；</w:t>
      </w:r>
    </w:p>
    <w:p w14:paraId="2C93E71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）其他语种（只包括学校规定的俄语、法语、德语、日语）参照上述标准执行。</w:t>
      </w:r>
    </w:p>
    <w:p w14:paraId="029423E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A.</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学生须提供国家级语言考试（中国举办或该语言国举办）的通过证书或合格成绩单。中国举办的语言考试需达到国家六级水平。</w:t>
      </w:r>
    </w:p>
    <w:p w14:paraId="186F64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B.</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在该小语种为母语（国语）的国家取得硕士及以上学位；</w:t>
      </w:r>
    </w:p>
    <w:p w14:paraId="388ECF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不能提供以上有效成绩证明的考生，均须参加学院组织的博士研究生外语水平考试（成绩合格，该考试成绩仅当次有效）。</w:t>
      </w:r>
    </w:p>
    <w:p w14:paraId="1C17C7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五、考核程序</w:t>
      </w:r>
    </w:p>
    <w:p w14:paraId="6F9B426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（一）网上报名</w:t>
      </w:r>
    </w:p>
    <w:p w14:paraId="276B88C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申请人应按照《西南政法大学</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年博士研究生招生章程》《西南政法大学</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年博士研究生网上报名须知</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第二批》要求在</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月</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13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日</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月</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日期间完成网上报名、缴费，并在网报系统中上传以下报名材料电子扫描件，以完成报名：</w:t>
      </w:r>
    </w:p>
    <w:p w14:paraId="00EC3F8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eastAsia" w:ascii="微软雅黑" w:hAnsi="微软雅黑" w:eastAsia="微软雅黑" w:cs="微软雅黑"/>
          <w:i w:val="0"/>
          <w:iCs w:val="0"/>
          <w:caps w:val="0"/>
          <w:color w:val="666666"/>
          <w:spacing w:val="0"/>
          <w:sz w:val="24"/>
          <w:szCs w:val="24"/>
          <w:bdr w:val="none" w:color="auto" w:sz="0" w:space="0"/>
          <w:shd w:val="clear" w:fill="FFFFFF"/>
        </w:rPr>
        <w:t> </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学校招生章程“四、申请材料”中需要提交的材料；</w:t>
      </w:r>
    </w:p>
    <w:p w14:paraId="47DD1E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外语水平证明；</w:t>
      </w:r>
    </w:p>
    <w:p w14:paraId="3941252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《西南政法大学博士研究生报考导师填报表》（按</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年博士研究生网上报名须知要求填写）。</w:t>
      </w:r>
    </w:p>
    <w:p w14:paraId="289ABA6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学院组织工作组对考生申请资格进行审查，审查通过的考生方可进入初审环节。</w:t>
      </w:r>
    </w:p>
    <w:p w14:paraId="27A26FF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4.</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考生在第二批博士招生中只能报考一个专业（研究方向），只能选择一种招生方式，只能确认一条有效报名信息。</w:t>
      </w:r>
    </w:p>
    <w:p w14:paraId="21299F9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（二）初审</w:t>
      </w:r>
    </w:p>
    <w:p w14:paraId="381B190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各学科组织导师对考生提交的材料进行审核，按专业（研究方向）招生计划的</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3-5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倍确定进入复试的人选。</w:t>
      </w:r>
    </w:p>
    <w:p w14:paraId="6B43256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复试名单预计于 </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月下旬公布，请关注后续通知。</w:t>
      </w:r>
    </w:p>
    <w:p w14:paraId="1FBFD5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（三）复试</w:t>
      </w:r>
    </w:p>
    <w:p w14:paraId="38F203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复试包括专业课笔试、综合面试及攻博计划书等材料审核，各专业考试科目及内容详见学院</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年博士研究生招生专业目录（附件）。复试安排预计于复试名单之后公布，请关注学院后续通知。</w:t>
      </w:r>
    </w:p>
    <w:p w14:paraId="517857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六、成绩计算及拟录取</w:t>
      </w:r>
    </w:p>
    <w:p w14:paraId="0754D2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（一）成绩计算</w:t>
      </w:r>
    </w:p>
    <w:p w14:paraId="4526B20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综合总成绩计算公式：</w:t>
      </w:r>
    </w:p>
    <w:p w14:paraId="0B449C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综合总成绩</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专业课笔试成绩</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×40/100+</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面试成绩</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×40/100+</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攻博材料审核成绩</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×20/100</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w:t>
      </w:r>
    </w:p>
    <w:p w14:paraId="3C119A6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外语水平考试成绩另作合格要求，不计入综合总成绩。</w:t>
      </w:r>
    </w:p>
    <w:p w14:paraId="4DE5AFE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3.</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同等学力加试成绩不计入综合总成绩。</w:t>
      </w:r>
    </w:p>
    <w:p w14:paraId="2506F1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（二）录取原则</w:t>
      </w:r>
    </w:p>
    <w:p w14:paraId="476829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2F9107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拟录取名单按照推荐进入复试的导师名下的上线考生综合总成绩，从高分到低分依序确定。具体录取规则以学校复试工作方案为准。</w:t>
      </w:r>
    </w:p>
    <w:p w14:paraId="1ED857D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应届硕士毕业生考生录取当年入学前未取得国家承认的相应学历学位证书或教育部留学服务中心出具的《国（境）外学历学位认证书》者，录取资格无效。</w:t>
      </w:r>
    </w:p>
    <w:p w14:paraId="04904B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对报名或考试中有弄虚作假或者其他违规行为的考生，不论何时，一经查实，即按有关规定取消报考资格、录取资格、入学资格或学籍。已毕业者将追回学历证书并取消其学位。</w:t>
      </w:r>
    </w:p>
    <w:p w14:paraId="4CD534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七、信息公开公示</w:t>
      </w:r>
    </w:p>
    <w:p w14:paraId="65D32F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复试结束后，将在学院网站（</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"https://nsc.swupl.edu.cn/"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default" w:ascii="Times New Roman" w:hAnsi="Times New Roman" w:eastAsia="微软雅黑" w:cs="Times New Roman"/>
          <w:i w:val="0"/>
          <w:iCs w:val="0"/>
          <w:caps w:val="0"/>
          <w:color w:val="0563C1"/>
          <w:spacing w:val="0"/>
          <w:sz w:val="32"/>
          <w:szCs w:val="32"/>
          <w:u w:val="single"/>
          <w:bdr w:val="none" w:color="auto" w:sz="0" w:space="0"/>
          <w:shd w:val="clear" w:fill="FFFFFF"/>
        </w:rPr>
        <w:t>https://nsc.swupl.edu.cn</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）公布考生最终成绩。成绩公示期间接受考生咨询和申诉：</w:t>
      </w:r>
    </w:p>
    <w:p w14:paraId="4287483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咨询电话：</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023-67258628 </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监督电话：</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023-67258452</w:t>
      </w:r>
    </w:p>
    <w:p w14:paraId="4BCE68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邮箱：</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gjaqxy@swupl.edu.cn</w:t>
      </w:r>
    </w:p>
    <w:p w14:paraId="4029DC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监督邮箱：</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243138526@qq.com</w:t>
      </w:r>
    </w:p>
    <w:p w14:paraId="49A06A1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eastAsia" w:ascii="黑体" w:hAnsi="宋体" w:eastAsia="黑体" w:cs="黑体"/>
          <w:i w:val="0"/>
          <w:iCs w:val="0"/>
          <w:caps w:val="0"/>
          <w:color w:val="666666"/>
          <w:spacing w:val="0"/>
          <w:sz w:val="32"/>
          <w:szCs w:val="32"/>
          <w:bdr w:val="none" w:color="auto" w:sz="0" w:space="0"/>
          <w:shd w:val="clear" w:fill="FFFFFF"/>
        </w:rPr>
        <w:t>八、其他事项</w:t>
      </w:r>
    </w:p>
    <w:p w14:paraId="12CB07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1.</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拟录取考生应根据教育部相关文件的体检要求，自行到二级甲等以上（含二级甲等）医院进行体格检查，体检费用自理。体检报告提交时间另行通知。</w:t>
      </w:r>
    </w:p>
    <w:p w14:paraId="5DB64D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Times New Roman" w:hAnsi="Times New Roman" w:eastAsia="微软雅黑" w:cs="Times New Roman"/>
          <w:i w:val="0"/>
          <w:iCs w:val="0"/>
          <w:caps w:val="0"/>
          <w:color w:val="666666"/>
          <w:spacing w:val="0"/>
          <w:sz w:val="32"/>
          <w:szCs w:val="32"/>
          <w:bdr w:val="none" w:color="auto" w:sz="0" w:space="0"/>
          <w:shd w:val="clear" w:fill="FFFFFF"/>
        </w:rPr>
        <w:t>2.</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考生应当认真了解并严格按照《西南政法大学</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年博士研究生招生章程》《西南政法大学国家安全学院</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2025</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年博士研究生招生工作实施细则</w:t>
      </w:r>
      <w:r>
        <w:rPr>
          <w:rFonts w:hint="default" w:ascii="Times New Roman" w:hAnsi="Times New Roman" w:eastAsia="微软雅黑" w:cs="Times New Roman"/>
          <w:i w:val="0"/>
          <w:iCs w:val="0"/>
          <w:caps w:val="0"/>
          <w:color w:val="666666"/>
          <w:spacing w:val="0"/>
          <w:sz w:val="32"/>
          <w:szCs w:val="32"/>
          <w:bdr w:val="none" w:color="auto" w:sz="0" w:space="0"/>
          <w:shd w:val="clear" w:fill="FFFFFF"/>
        </w:rPr>
        <w:t>-</w:t>
      </w:r>
      <w:r>
        <w:rPr>
          <w:rFonts w:hint="default" w:ascii="方正仿宋_GBK" w:hAnsi="方正仿宋_GBK" w:eastAsia="方正仿宋_GBK" w:cs="方正仿宋_GBK"/>
          <w:i w:val="0"/>
          <w:iCs w:val="0"/>
          <w:caps w:val="0"/>
          <w:color w:val="666666"/>
          <w:spacing w:val="0"/>
          <w:sz w:val="32"/>
          <w:szCs w:val="32"/>
          <w:bdr w:val="none" w:color="auto" w:sz="0" w:space="0"/>
          <w:shd w:val="clear" w:fill="FFFFFF"/>
        </w:rPr>
        <w:t>第二批》所规定报考条件及相关政策要求进行报考。因不符合报考条件及相关政策要求，造成后续不能考试（含初审和复试）或录取的，后果由考生本人承担。</w:t>
      </w:r>
    </w:p>
    <w:p w14:paraId="4F923B8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p>
    <w:p w14:paraId="1314C75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666666"/>
          <w:spacing w:val="0"/>
          <w:sz w:val="24"/>
          <w:szCs w:val="24"/>
        </w:rPr>
      </w:pPr>
      <w:r>
        <w:rPr>
          <w:rFonts w:hint="default" w:ascii="方正仿宋_GBK" w:hAnsi="方正仿宋_GBK" w:eastAsia="方正仿宋_GBK" w:cs="方正仿宋_GBK"/>
          <w:i w:val="0"/>
          <w:iCs w:val="0"/>
          <w:caps w:val="0"/>
          <w:color w:val="666666"/>
          <w:spacing w:val="0"/>
          <w:sz w:val="31"/>
          <w:szCs w:val="31"/>
          <w:bdr w:val="none" w:color="auto" w:sz="0" w:space="0"/>
          <w:shd w:val="clear" w:fill="FFFFFF"/>
        </w:rPr>
        <w:t>附件：</w:t>
      </w:r>
    </w:p>
    <w:p w14:paraId="4118B49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0"/>
        <w:jc w:val="center"/>
        <w:rPr>
          <w:rFonts w:hint="eastAsia" w:ascii="微软雅黑" w:hAnsi="微软雅黑" w:eastAsia="微软雅黑" w:cs="微软雅黑"/>
          <w:i w:val="0"/>
          <w:iCs w:val="0"/>
          <w:caps w:val="0"/>
          <w:color w:val="666666"/>
          <w:spacing w:val="0"/>
          <w:sz w:val="24"/>
          <w:szCs w:val="24"/>
        </w:rPr>
      </w:pPr>
      <w:r>
        <w:rPr>
          <w:rFonts w:hint="default" w:ascii="方正小标宋_GBK" w:hAnsi="方正小标宋_GBK" w:eastAsia="方正小标宋_GBK" w:cs="方正小标宋_GBK"/>
          <w:i w:val="0"/>
          <w:iCs w:val="0"/>
          <w:caps w:val="0"/>
          <w:color w:val="000000"/>
          <w:spacing w:val="0"/>
          <w:sz w:val="36"/>
          <w:szCs w:val="36"/>
          <w:bdr w:val="none" w:color="auto" w:sz="0" w:space="0"/>
          <w:shd w:val="clear" w:fill="FFFFFF"/>
        </w:rPr>
        <w:t>西南政法大学国家安全学院</w:t>
      </w:r>
    </w:p>
    <w:p w14:paraId="410EE6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 w:lineRule="atLeast"/>
        <w:ind w:left="0" w:firstLine="0"/>
        <w:jc w:val="center"/>
        <w:rPr>
          <w:rFonts w:hint="eastAsia" w:ascii="微软雅黑" w:hAnsi="微软雅黑" w:eastAsia="微软雅黑" w:cs="微软雅黑"/>
          <w:i w:val="0"/>
          <w:iCs w:val="0"/>
          <w:caps w:val="0"/>
          <w:color w:val="666666"/>
          <w:spacing w:val="0"/>
          <w:sz w:val="24"/>
          <w:szCs w:val="24"/>
        </w:rPr>
      </w:pPr>
      <w:r>
        <w:rPr>
          <w:rFonts w:hint="default" w:ascii="方正小标宋_GBK" w:hAnsi="方正小标宋_GBK" w:eastAsia="方正小标宋_GBK" w:cs="方正小标宋_GBK"/>
          <w:i w:val="0"/>
          <w:iCs w:val="0"/>
          <w:caps w:val="0"/>
          <w:color w:val="000000"/>
          <w:spacing w:val="0"/>
          <w:sz w:val="36"/>
          <w:szCs w:val="36"/>
          <w:bdr w:val="none" w:color="auto" w:sz="0" w:space="0"/>
          <w:shd w:val="clear" w:fill="FFFFFF"/>
        </w:rPr>
        <w:t>2025年博士研究生招生专业目录（第二批）</w:t>
      </w:r>
      <w:r>
        <w:rPr>
          <w:rStyle w:val="10"/>
          <w:rFonts w:hint="eastAsia" w:ascii="微软雅黑" w:hAnsi="微软雅黑" w:eastAsia="微软雅黑" w:cs="微软雅黑"/>
          <w:i w:val="0"/>
          <w:iCs w:val="0"/>
          <w:caps w:val="0"/>
          <w:color w:val="666666"/>
          <w:spacing w:val="0"/>
          <w:sz w:val="24"/>
          <w:szCs w:val="24"/>
          <w:bdr w:val="none" w:color="auto" w:sz="0" w:space="0"/>
          <w:shd w:val="clear" w:fill="FFFFFF"/>
        </w:rPr>
        <w:t> </w:t>
      </w:r>
      <w:r>
        <w:rPr>
          <w:rStyle w:val="10"/>
          <w:rFonts w:hint="eastAsia" w:ascii="微软雅黑" w:hAnsi="微软雅黑" w:eastAsia="微软雅黑" w:cs="微软雅黑"/>
          <w:i w:val="0"/>
          <w:iCs w:val="0"/>
          <w:caps w:val="0"/>
          <w:color w:val="666666"/>
          <w:spacing w:val="0"/>
          <w:sz w:val="24"/>
          <w:szCs w:val="24"/>
          <w:bdr w:val="none" w:color="auto" w:sz="0" w:space="0"/>
          <w:shd w:val="clear" w:fill="FFFFFF"/>
        </w:rPr>
        <w:drawing>
          <wp:inline distT="0" distB="0" distL="114300" distR="114300">
            <wp:extent cx="5264785" cy="3014980"/>
            <wp:effectExtent l="0" t="0" r="12065" b="13970"/>
            <wp:docPr id="21"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56"/>
                    <pic:cNvPicPr>
                      <a:picLocks noChangeAspect="1"/>
                    </pic:cNvPicPr>
                  </pic:nvPicPr>
                  <pic:blipFill>
                    <a:blip r:embed="rId4"/>
                    <a:stretch>
                      <a:fillRect/>
                    </a:stretch>
                  </pic:blipFill>
                  <pic:spPr>
                    <a:xfrm>
                      <a:off x="0" y="0"/>
                      <a:ext cx="5264785" cy="3014980"/>
                    </a:xfrm>
                    <a:prstGeom prst="rect">
                      <a:avLst/>
                    </a:prstGeom>
                    <a:noFill/>
                    <a:ln w="9525">
                      <a:noFill/>
                    </a:ln>
                  </pic:spPr>
                </pic:pic>
              </a:graphicData>
            </a:graphic>
          </wp:inline>
        </w:drawing>
      </w:r>
    </w:p>
    <w:p w14:paraId="15E9815F">
      <w:pPr>
        <w:rPr>
          <w:rFonts w:hint="default" w:ascii="微软雅黑" w:hAnsi="微软雅黑" w:eastAsia="微软雅黑" w:cs="微软雅黑"/>
          <w:i w:val="0"/>
          <w:iCs w:val="0"/>
          <w:caps w:val="0"/>
          <w:color w:val="BD3431"/>
          <w:spacing w:val="15"/>
          <w:sz w:val="43"/>
          <w:szCs w:val="43"/>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1E880EA7"/>
    <w:rsid w:val="2B3269EC"/>
    <w:rsid w:val="348E3E46"/>
    <w:rsid w:val="358E17EA"/>
    <w:rsid w:val="50B15470"/>
    <w:rsid w:val="53373F15"/>
    <w:rsid w:val="67D47C93"/>
    <w:rsid w:val="68A128B9"/>
    <w:rsid w:val="712E093E"/>
    <w:rsid w:val="72B1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B1517159DF02444A8881EEDB09E1F986_13</vt:lpwstr>
  </property>
  <property fmtid="{D5CDD505-2E9C-101B-9397-08002B2CF9AE}" pid="4" name="KSOTemplateDocerSaveRecord">
    <vt:lpwstr>eyJoZGlkIjoiYTFmNmVhOTkxNjMwODU5NTJlYjI4NDc1ZWVjNjRhZWUiLCJ1c2VySWQiOiIxNDE1NTEzMzA2In0=</vt:lpwstr>
  </property>
</Properties>
</file>