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2024年物理与电子科学学院博士研究生招生“申请-考核”实施方案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为吸引具有优秀科研业绩和培养潜质的硕士毕业生攻读我校全日制非定向博士学位研究生，鼓励硕士生潜心学习与科学研究，根据学校相关要求，我院制定博士生招生“申请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考核制”具体实施办法如下。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以全面提高博士研究生教育质量为目标，遵循公平公正的原则，坚持德、智、体全面衡量，保证质量，择优选拔。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．学校成立研究生招生工作领导小组和监察小组，制定博士“申请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考核制”基本原则和总体方案，监督、审核各学院选拔流程及结果。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．学院成立研究生招生工作小组，负责制定本学院的博士“申请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考核制”选拔方案和实施细则，监督落实学院博士“申请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考核制”招生工作。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三、选拔条件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拥护中国共产党的领导，愿意为社会主义现代化建设服务，品德良好，遵纪守法。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符合我校</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年全日制博士生招生简章中规定的报考条件。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3. 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专业基础好、科研能力强，具有突出学术成果，原则上以第一作者（或者导师第一作者，申请人为第二作者）在</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学术期刊上至少发表（含录用）</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篇与申请专业相关的学术论文或相应的科研成果。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4. 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有两位与所报学科相关的副教授（或相当职称）以上的专家书面推荐信。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5. 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具有较高的英语水平，对学术研究有浓厚的兴趣，有较强的创新意识和创新能力。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6. 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对个别不符合上述条件，但具有突出创新能力和特殊学术专长的考生，可适当放宽条件，允许其向申请专业所在学院提出破格申请。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四、选拔流程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1</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．网上报名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000000"/>
          <w:spacing w:val="0"/>
          <w:sz w:val="21"/>
          <w:szCs w:val="21"/>
          <w:bdr w:val="none" w:color="auto" w:sz="0" w:space="0"/>
          <w:shd w:val="clear" w:fill="FFFFFF"/>
          <w:lang w:val="en-US"/>
        </w:rPr>
        <w:t> </w:t>
      </w:r>
      <w:r>
        <w:rPr>
          <w:rFonts w:hint="eastAsia" w:ascii="宋体" w:hAnsi="宋体" w:eastAsia="宋体" w:cs="宋体"/>
          <w:i w:val="0"/>
          <w:iCs w:val="0"/>
          <w:caps w:val="0"/>
          <w:color w:val="000000"/>
          <w:spacing w:val="0"/>
          <w:sz w:val="21"/>
          <w:szCs w:val="21"/>
          <w:bdr w:val="none" w:color="auto" w:sz="0" w:space="0"/>
          <w:shd w:val="clear" w:fill="FFFFFF"/>
        </w:rPr>
        <w:t>“申请—考核制”</w:t>
      </w:r>
      <w:r>
        <w:rPr>
          <w:rFonts w:hint="default" w:ascii="Times New Roman" w:hAnsi="Times New Roman" w:cs="Times New Roman"/>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硕博连读考生均需网上注册报名。网上报名时间为</w:t>
      </w:r>
      <w:r>
        <w:rPr>
          <w:rFonts w:hint="default" w:ascii="Times New Roman" w:hAnsi="Times New Roman" w:cs="Times New Roman"/>
          <w:i w:val="0"/>
          <w:iCs w:val="0"/>
          <w:caps w:val="0"/>
          <w:color w:val="000000"/>
          <w:spacing w:val="0"/>
          <w:sz w:val="21"/>
          <w:szCs w:val="21"/>
          <w:bdr w:val="none" w:color="auto" w:sz="0" w:space="0"/>
          <w:shd w:val="clear" w:fill="FFFFFF"/>
          <w:lang w:val="en-US"/>
        </w:rPr>
        <w:t>2024</w:t>
      </w:r>
      <w:r>
        <w:rPr>
          <w:rFonts w:hint="eastAsia" w:ascii="宋体" w:hAnsi="宋体" w:eastAsia="宋体" w:cs="宋体"/>
          <w:i w:val="0"/>
          <w:iCs w:val="0"/>
          <w:caps w:val="0"/>
          <w:color w:val="000000"/>
          <w:spacing w:val="0"/>
          <w:sz w:val="21"/>
          <w:szCs w:val="21"/>
          <w:bdr w:val="none" w:color="auto" w:sz="0" w:space="0"/>
          <w:shd w:val="clear" w:fill="FFFFFF"/>
        </w:rPr>
        <w:t>年</w:t>
      </w:r>
      <w:r>
        <w:rPr>
          <w:rFonts w:hint="default" w:ascii="Times New Roman" w:hAnsi="Times New Roman" w:cs="Times New Roman"/>
          <w:i w:val="0"/>
          <w:iCs w:val="0"/>
          <w:caps w:val="0"/>
          <w:color w:val="000000"/>
          <w:spacing w:val="0"/>
          <w:sz w:val="21"/>
          <w:szCs w:val="21"/>
          <w:bdr w:val="none" w:color="auto" w:sz="0" w:space="0"/>
          <w:shd w:val="clear" w:fill="FFFFFF"/>
          <w:lang w:val="en-US"/>
        </w:rPr>
        <w:t>2</w:t>
      </w:r>
      <w:r>
        <w:rPr>
          <w:rFonts w:hint="eastAsia" w:ascii="宋体" w:hAnsi="宋体" w:eastAsia="宋体" w:cs="宋体"/>
          <w:i w:val="0"/>
          <w:iCs w:val="0"/>
          <w:caps w:val="0"/>
          <w:color w:val="000000"/>
          <w:spacing w:val="0"/>
          <w:sz w:val="21"/>
          <w:szCs w:val="21"/>
          <w:bdr w:val="none" w:color="auto" w:sz="0" w:space="0"/>
          <w:shd w:val="clear" w:fill="FFFFFF"/>
        </w:rPr>
        <w:t>月</w:t>
      </w:r>
      <w:r>
        <w:rPr>
          <w:rFonts w:hint="default" w:ascii="Times New Roman" w:hAnsi="Times New Roman" w:cs="Times New Roman"/>
          <w:i w:val="0"/>
          <w:iCs w:val="0"/>
          <w:caps w:val="0"/>
          <w:color w:val="000000"/>
          <w:spacing w:val="0"/>
          <w:sz w:val="21"/>
          <w:szCs w:val="21"/>
          <w:bdr w:val="none" w:color="auto" w:sz="0" w:space="0"/>
          <w:shd w:val="clear" w:fill="FFFFFF"/>
          <w:lang w:val="en-US"/>
        </w:rPr>
        <w:t>1</w:t>
      </w:r>
      <w:r>
        <w:rPr>
          <w:rFonts w:hint="eastAsia" w:ascii="宋体" w:hAnsi="宋体" w:eastAsia="宋体" w:cs="宋体"/>
          <w:i w:val="0"/>
          <w:iCs w:val="0"/>
          <w:caps w:val="0"/>
          <w:color w:val="000000"/>
          <w:spacing w:val="0"/>
          <w:sz w:val="21"/>
          <w:szCs w:val="21"/>
          <w:bdr w:val="none" w:color="auto" w:sz="0" w:space="0"/>
          <w:shd w:val="clear" w:fill="FFFFFF"/>
        </w:rPr>
        <w:t>日至</w:t>
      </w:r>
      <w:r>
        <w:rPr>
          <w:rFonts w:hint="default" w:ascii="Times New Roman" w:hAnsi="Times New Roman" w:cs="Times New Roman"/>
          <w:i w:val="0"/>
          <w:iCs w:val="0"/>
          <w:caps w:val="0"/>
          <w:color w:val="000000"/>
          <w:spacing w:val="0"/>
          <w:sz w:val="21"/>
          <w:szCs w:val="21"/>
          <w:bdr w:val="none" w:color="auto" w:sz="0" w:space="0"/>
          <w:shd w:val="clear" w:fill="FFFFFF"/>
          <w:lang w:val="en-US"/>
        </w:rPr>
        <w:t>3</w:t>
      </w:r>
      <w:r>
        <w:rPr>
          <w:rFonts w:hint="eastAsia" w:ascii="宋体" w:hAnsi="宋体" w:eastAsia="宋体" w:cs="宋体"/>
          <w:i w:val="0"/>
          <w:iCs w:val="0"/>
          <w:caps w:val="0"/>
          <w:color w:val="000000"/>
          <w:spacing w:val="0"/>
          <w:sz w:val="21"/>
          <w:szCs w:val="21"/>
          <w:bdr w:val="none" w:color="auto" w:sz="0" w:space="0"/>
          <w:shd w:val="clear" w:fill="FFFFFF"/>
        </w:rPr>
        <w:t>月</w:t>
      </w:r>
      <w:r>
        <w:rPr>
          <w:rFonts w:hint="default" w:ascii="Times New Roman" w:hAnsi="Times New Roman" w:cs="Times New Roman"/>
          <w:i w:val="0"/>
          <w:iCs w:val="0"/>
          <w:caps w:val="0"/>
          <w:color w:val="000000"/>
          <w:spacing w:val="0"/>
          <w:sz w:val="21"/>
          <w:szCs w:val="21"/>
          <w:bdr w:val="none" w:color="auto" w:sz="0" w:space="0"/>
          <w:shd w:val="clear" w:fill="FFFFFF"/>
          <w:lang w:val="en-US"/>
        </w:rPr>
        <w:t>1</w:t>
      </w:r>
      <w:r>
        <w:rPr>
          <w:rFonts w:hint="eastAsia" w:ascii="宋体" w:hAnsi="宋体" w:eastAsia="宋体" w:cs="宋体"/>
          <w:i w:val="0"/>
          <w:iCs w:val="0"/>
          <w:caps w:val="0"/>
          <w:color w:val="000000"/>
          <w:spacing w:val="0"/>
          <w:sz w:val="21"/>
          <w:szCs w:val="21"/>
          <w:bdr w:val="none" w:color="auto" w:sz="0" w:space="0"/>
          <w:shd w:val="clear" w:fill="FFFFFF"/>
        </w:rPr>
        <w:t>日。考生须在此时间内登录山东师范大学研究生招生信息网（网址：</w:t>
      </w:r>
      <w:r>
        <w:rPr>
          <w:rFonts w:hint="default" w:ascii="Times New Roman" w:hAnsi="Times New Roman" w:cs="Times New Roman"/>
          <w:i w:val="0"/>
          <w:iCs w:val="0"/>
          <w:caps w:val="0"/>
          <w:color w:val="000000"/>
          <w:spacing w:val="0"/>
          <w:sz w:val="21"/>
          <w:szCs w:val="21"/>
          <w:bdr w:val="none" w:color="auto" w:sz="0" w:space="0"/>
          <w:shd w:val="clear" w:fill="FFFFFF"/>
          <w:lang w:val="en-US"/>
        </w:rPr>
        <w:t>http://www.yjszs.sdnu.edu.cn/</w:t>
      </w:r>
      <w:r>
        <w:rPr>
          <w:rFonts w:hint="eastAsia" w:ascii="宋体" w:hAnsi="宋体" w:eastAsia="宋体" w:cs="宋体"/>
          <w:i w:val="0"/>
          <w:iCs w:val="0"/>
          <w:caps w:val="0"/>
          <w:color w:val="000000"/>
          <w:spacing w:val="0"/>
          <w:sz w:val="21"/>
          <w:szCs w:val="21"/>
          <w:bdr w:val="none" w:color="auto" w:sz="0" w:space="0"/>
          <w:shd w:val="clear" w:fill="FFFFFF"/>
        </w:rPr>
        <w:t>），注册后选择正确的考试方式，准确填写报考信息。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default" w:ascii="Times New Roman" w:hAnsi="Times New Roman" w:cs="Times New Roman"/>
          <w:i w:val="0"/>
          <w:iCs w:val="0"/>
          <w:caps w:val="0"/>
          <w:color w:val="333333"/>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初试报名费</w:t>
      </w:r>
      <w:r>
        <w:rPr>
          <w:rFonts w:hint="default" w:ascii="Times New Roman" w:hAnsi="Times New Roman" w:cs="Times New Roman"/>
          <w:i w:val="0"/>
          <w:iCs w:val="0"/>
          <w:caps w:val="0"/>
          <w:color w:val="000000"/>
          <w:spacing w:val="0"/>
          <w:sz w:val="21"/>
          <w:szCs w:val="21"/>
          <w:bdr w:val="none" w:color="auto" w:sz="0" w:space="0"/>
          <w:shd w:val="clear" w:fill="FFFFFF"/>
          <w:lang w:val="en-US"/>
        </w:rPr>
        <w:t>220</w:t>
      </w:r>
      <w:r>
        <w:rPr>
          <w:rFonts w:hint="eastAsia" w:ascii="宋体" w:hAnsi="宋体" w:eastAsia="宋体" w:cs="宋体"/>
          <w:i w:val="0"/>
          <w:iCs w:val="0"/>
          <w:caps w:val="0"/>
          <w:color w:val="000000"/>
          <w:spacing w:val="0"/>
          <w:sz w:val="21"/>
          <w:szCs w:val="21"/>
          <w:bdr w:val="none" w:color="auto" w:sz="0" w:space="0"/>
          <w:shd w:val="clear" w:fill="FFFFFF"/>
        </w:rPr>
        <w:t>元，报名时通过网上缴费，报名费一经缴纳不再退款。逾期不缴纳费用者，报名无效。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default" w:ascii="Times New Roman" w:hAnsi="Times New Roman" w:cs="Times New Roman"/>
          <w:i w:val="0"/>
          <w:iCs w:val="0"/>
          <w:caps w:val="0"/>
          <w:color w:val="333333"/>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网上报名时考生必须如实、准确填写信息。考生必须按要求提交书面材料，书面材料中的相关内容必须与网报信息一致。一旦发现弄虚作假者，我校将取消其报考资格或录取资格，由此造成的损失由考生本人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2</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考生按照要求于</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月中旬（具体时间另行通知）到长清湖校区文澜楼</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A</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区</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F310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房间提交申请材料，进行资格审核。提交材料明细如下：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（一）《报考攻读博士学位研究生登记表》（从报名系统中打印，打印前须按要求上传本人电子照片，打印后须本人亲笔签字确认）。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（二）《山东师范大学博士研究生招生“申请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（三）个人简介。内容包括学习及学术研究的简要经历、主要研究成果、攻读博士学位期间本人拟从事的研究方向和科研设想。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（四）专家推荐书。须由两名与报考专业相关的教授（或相当职称）以上的专家推荐签字出具。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五）应届硕士提供学信网下载的学籍在线验证报告（提前毕业的硕士生还须提供学校同意提前毕业的证明）；往届生提供硕士学位证书原件及复印件（在境外获得的硕士学位须提供教育部留学服务中心的认证书）、硕士学历（没有学历证书可不带）。应届生被录取后，如在入学报到时不能获得硕士学位证书及毕业证书将被取消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（六）身份证复印件。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（七）</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研究生阶段成绩单。由考生所在学校研究生管理部门提供，并加盖公章；非应届毕业生可由考生档案所在人事部门或毕业学校档案管理部门提供，并加盖公章。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（八）外语水平证明材料复印件（英语六级成绩单等相关证明）。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（九）在学术期刊上发表的学术论文复印件，以及其他可以证明自己科研能力或成就的材料，如获奖证书、著作、课题立项书等。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十）《思想政治素质和品德考核表》，没有正式工作单位的往届考生，单位审核意见处由考生户口所在村、镇、街道办事处或聘用工作单位填写意见并加盖公章；有工作单位的考生由考生所在单位人事组织部门填写意见并加盖公章；应届毕业考生，由其就读学校的院（系）党组织部门填写意见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申请人应仔细核对本人是否符合申请条件，如实提供上述所列申请材料。如发现申请人提交虚假材料、作弊及其它违纪行为，将根据学校规定严肃处理，包括取消录取资格及学籍等，相关后果由申请人承担。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注：“申请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考核”制申请表、硕士生提前毕业证明、《思想政治素质和品德考核表》、《专家推荐书》的格式从研究生院网站下载，下载网址：</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http://www.yjszs.sdnu.edu.cn/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3</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．申请材料审核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学院负责对材料是否齐全进行检查，审核是否符合申请条件。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学院组成资格认定委员会（一般由五位副教授以上职称的专家及思想政治工作负责人组成），对考生提交的申请材料进行评估，注重考生的学习成绩、科研能力、发表文章以及获奖等方面，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4</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．综合考核（具体时间另行通知）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）通过资格审核的考生到山东师范大学物理与电子科学学院研究生管理办公室报到进行面试考核工作。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地址：济南市长清区大学路</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号山东师范大学文澜楼</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A</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区</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F310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联系电话：</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0531-86181576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基本要求：学院资格认定委员会对通过材料审核的考生进行综合考核面试。面试考核主要考察考生对本学科最新研究成果的了解情况和考生的科研工作情况，以及考生综合运用所学知识的能力，考察考生是否具备攻读博士学位培养的潜能。主要从专业基础、英语水平、科研能力（代表性科研成果数量、质量、发表文章刊物层次和级别，分析能力、思维能力、表达能力）等三个方面考查并给出成绩，面试时间每个考生以半小时为宜。面试成绩以百分记，以</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分为合格标准，按照占比分别为</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30%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30%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40%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的原则给出总成绩，进行排序录取。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提交申请材料及综合考核时间待定，请考生随时关注物理与电子科学学院官网通知。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5. </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所有拟录取考生均须参加体检。体检标准参照教育部、卫生部、中国残联印发的《普通高等学校招生体检工作指导意见》（教学〔</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2003</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号）和《教育部办公厅、卫生部办公厅关于普通高等学校招生学生入学身体检查取消乙肝项目检测有关问题的通知》（教学厅〔</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2010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号）执行，体检不合格者不予录取。学校不统一安排体检，考生本人复试拟录取一周内自行到二级甲等及以上医院进行一般健康体检，将体检报告快寄或送至研究生招生办公室。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6</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．拟录取名单审核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校研究生招生领导小组审核</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考核制”博士研究生拟录取名单，审核通过后由研招办在我校研究生招生网上公示。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default" w:ascii="Times New Roman" w:hAnsi="Times New Roman" w:eastAsia="宋体" w:cs="Times New Roman"/>
          <w:b/>
          <w:bCs/>
          <w:i w:val="0"/>
          <w:iCs w:val="0"/>
          <w:caps w:val="0"/>
          <w:color w:val="333333"/>
          <w:spacing w:val="0"/>
          <w:kern w:val="0"/>
          <w:sz w:val="21"/>
          <w:szCs w:val="21"/>
          <w:bdr w:val="none" w:color="auto" w:sz="0" w:space="0"/>
          <w:shd w:val="clear" w:fill="FFFFFF"/>
          <w:lang w:val="en-US" w:eastAsia="zh-CN" w:bidi="ar"/>
        </w:rPr>
        <w:t>7</w:t>
      </w: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“申请</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考核制”博士研究生全部为全日制非定向考生，须将档案转入我校，方可发放录取通知书，否则取消录取资格。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jc w:val="both"/>
        <w:rPr>
          <w:rFonts w:hint="default" w:ascii="Times New Roman" w:hAnsi="Times New Roman" w:cs="Times New Roman"/>
          <w:i w:val="0"/>
          <w:iCs w:val="0"/>
          <w:caps w:val="0"/>
          <w:color w:val="333333"/>
          <w:spacing w:val="0"/>
          <w:sz w:val="21"/>
          <w:szCs w:val="21"/>
        </w:rPr>
      </w:pPr>
      <w:r>
        <w:rPr>
          <w:rStyle w:val="9"/>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五、其他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．考生入学时未取得国家承认的相应学位学历证书者，取消录取资格。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．本实施办法若与教育部有关规定有不符之处，须按教育部有关文件规定执行。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3997976"/>
    <w:rsid w:val="11265DB1"/>
    <w:rsid w:val="16972CA0"/>
    <w:rsid w:val="208D02F8"/>
    <w:rsid w:val="43997976"/>
    <w:rsid w:val="7255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Emphasis"/>
    <w:basedOn w:val="8"/>
    <w:qFormat/>
    <w:uiPriority w:val="0"/>
  </w:style>
  <w:style w:type="character" w:styleId="12">
    <w:name w:val="Hyperlink"/>
    <w:basedOn w:val="8"/>
    <w:uiPriority w:val="0"/>
    <w:rPr>
      <w:color w:val="333333"/>
      <w:u w:val="none"/>
    </w:rPr>
  </w:style>
  <w:style w:type="character" w:customStyle="1" w:styleId="13">
    <w:name w:val="fl2"/>
    <w:basedOn w:val="8"/>
    <w:uiPriority w:val="0"/>
    <w:rPr>
      <w:color w:val="FFFFFF"/>
      <w:sz w:val="24"/>
      <w:szCs w:val="24"/>
    </w:rPr>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2024-01-30T02:20:00Z</dcterms:created>
  <dc:creator>WPS_1663235086</dc:creator>
  <cp:lastModifiedBy>WPS_1663235086</cp:lastModifiedBy>
  <dcterms:modified xsi:type="dcterms:W3CDTF">2024-01-30T06:32:36Z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3D35B6318CA64F9D9E84C3CD0536F3BD_13</vt:lpwstr>
  </property>
</Properties>
</file>