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六</w:t>
      </w:r>
      <w:bookmarkStart w:id="0" w:name="_GoBack"/>
      <w:bookmarkEnd w:id="0"/>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西安电子科技大学-</w:t>
      </w:r>
      <w:r>
        <w:rPr>
          <w:rFonts w:hint="eastAsia" w:ascii="方正小标宋简体" w:hAnsi="方正小标宋简体" w:eastAsia="方正小标宋简体" w:cs="方正小标宋简体"/>
          <w:sz w:val="44"/>
          <w:szCs w:val="44"/>
          <w:lang w:eastAsia="zh-CN"/>
        </w:rPr>
        <w:t>安徽高等研究院校企联培专项计划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为深入贯彻落实党的二十大关于教育、科技、人才“三位一体”重要部署，深化产教融合和科教融汇，引导中西部教育、科技与产业、人才协调发展，教育部支持建设安徽高等研究院</w:t>
      </w: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年西安电子科技大学联合安徽高等研究院共同开展博士研究生</w:t>
      </w:r>
      <w:r>
        <w:rPr>
          <w:rFonts w:hint="eastAsia" w:ascii="仿宋_GB2312" w:hAnsi="仿宋_GB2312" w:eastAsia="仿宋_GB2312" w:cs="仿宋_GB2312"/>
          <w:sz w:val="32"/>
          <w:szCs w:val="32"/>
          <w:lang w:val="en-US" w:eastAsia="zh-CN"/>
        </w:rPr>
        <w:t>校企联培专项计划</w:t>
      </w:r>
      <w:r>
        <w:rPr>
          <w:rFonts w:hint="eastAsia" w:ascii="仿宋_GB2312" w:hAnsi="仿宋_GB2312" w:eastAsia="仿宋_GB2312" w:cs="仿宋_GB2312"/>
          <w:sz w:val="32"/>
          <w:szCs w:val="32"/>
        </w:rPr>
        <w:t>（以下简称“专项计划”）。面向</w:t>
      </w:r>
      <w:r>
        <w:rPr>
          <w:rFonts w:hint="eastAsia" w:ascii="仿宋_GB2312" w:hAnsi="仿宋_GB2312" w:eastAsia="仿宋_GB2312" w:cs="仿宋_GB2312"/>
          <w:sz w:val="32"/>
          <w:szCs w:val="32"/>
          <w:lang w:val="en-US" w:eastAsia="zh-CN"/>
        </w:rPr>
        <w:t>电子</w:t>
      </w:r>
      <w:r>
        <w:rPr>
          <w:rFonts w:hint="eastAsia" w:ascii="仿宋_GB2312" w:hAnsi="仿宋_GB2312" w:eastAsia="仿宋_GB2312" w:cs="仿宋_GB2312"/>
          <w:sz w:val="32"/>
          <w:szCs w:val="32"/>
        </w:rPr>
        <w:t>信息领域，培养和造就工程技术方面具有高度社会责任感和国际视野的学术创新人才。专项计划招收</w:t>
      </w:r>
      <w:r>
        <w:rPr>
          <w:rFonts w:hint="eastAsia" w:ascii="仿宋_GB2312" w:hAnsi="仿宋_GB2312" w:eastAsia="仿宋_GB2312" w:cs="仿宋_GB2312"/>
          <w:sz w:val="32"/>
          <w:szCs w:val="32"/>
          <w:lang w:val="en-US" w:eastAsia="zh-CN"/>
        </w:rPr>
        <w:t>专业学位博士研究生（以下简称“工程博士”）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专项计划实行普通招考招生方式，通过“申请-考核”进行选拔，择优录取。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一、招生规模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秋季</w:t>
      </w:r>
      <w:r>
        <w:rPr>
          <w:rFonts w:hint="eastAsia" w:ascii="仿宋_GB2312" w:hAnsi="仿宋_GB2312" w:eastAsia="仿宋_GB2312" w:cs="仿宋_GB2312"/>
          <w:sz w:val="32"/>
          <w:szCs w:val="32"/>
        </w:rPr>
        <w:t>计划招收</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rPr>
        <w:t>博士</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按照校内导师招生学院和专业对应录取。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二、学习方式、学制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本次专项招生录取全日制</w:t>
      </w:r>
      <w:r>
        <w:rPr>
          <w:rFonts w:hint="eastAsia" w:ascii="仿宋_GB2312" w:hAnsi="仿宋_GB2312" w:eastAsia="仿宋_GB2312" w:cs="仿宋_GB2312"/>
          <w:sz w:val="32"/>
          <w:szCs w:val="32"/>
          <w:lang w:val="en-US" w:eastAsia="zh-CN"/>
        </w:rPr>
        <w:t>及非全日制</w:t>
      </w:r>
      <w:r>
        <w:rPr>
          <w:rFonts w:hint="eastAsia" w:ascii="仿宋_GB2312" w:hAnsi="仿宋_GB2312" w:eastAsia="仿宋_GB2312" w:cs="仿宋_GB2312"/>
          <w:sz w:val="32"/>
          <w:szCs w:val="32"/>
        </w:rPr>
        <w:t>，学制4年。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三、申请流程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申请人需符合《西安电子科技大学202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年博士研究生招生简章》及其相关申请考核实施细则中的报考条件。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2.申请时间</w:t>
      </w:r>
      <w:r>
        <w:rPr>
          <w:rFonts w:hint="eastAsia" w:ascii="仿宋_GB2312" w:hAnsi="仿宋_GB2312" w:eastAsia="仿宋_GB2312" w:cs="仿宋_GB2312"/>
          <w:sz w:val="32"/>
          <w:szCs w:val="32"/>
          <w:lang w:val="en-US" w:eastAsia="zh-CN"/>
        </w:rPr>
        <w:t>及报名流程</w:t>
      </w:r>
    </w:p>
    <w:p>
      <w:pPr>
        <w:ind w:firstLine="42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按照2024年各类专项博士研究生招生的通知进行操作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专项计划选择“安徽高等研究院校企联培专项计划”</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考生须提交《西安电子科技大学202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年博士研究生招生简章》及学院</w:t>
      </w:r>
      <w:r>
        <w:rPr>
          <w:rFonts w:hint="eastAsia" w:ascii="仿宋_GB2312" w:hAnsi="仿宋_GB2312" w:eastAsia="仿宋_GB2312" w:cs="仿宋_GB2312"/>
          <w:sz w:val="32"/>
          <w:szCs w:val="32"/>
          <w:lang w:val="en-US" w:eastAsia="zh-CN"/>
        </w:rPr>
        <w:t>申请考核</w:t>
      </w:r>
      <w:r>
        <w:rPr>
          <w:rFonts w:hint="eastAsia" w:ascii="仿宋_GB2312" w:hAnsi="仿宋_GB2312" w:eastAsia="仿宋_GB2312" w:cs="仿宋_GB2312"/>
          <w:sz w:val="32"/>
          <w:szCs w:val="32"/>
        </w:rPr>
        <w:t>方案中要求的申请材料，纸质材料直接寄送报名学院。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四、招生考核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招生考核分为材料评议和复试考核两个阶段，由西安电子科技大学</w:t>
      </w:r>
      <w:r>
        <w:rPr>
          <w:rFonts w:hint="eastAsia" w:ascii="仿宋_GB2312" w:hAnsi="仿宋_GB2312" w:eastAsia="仿宋_GB2312" w:cs="仿宋_GB2312"/>
          <w:sz w:val="32"/>
          <w:szCs w:val="32"/>
          <w:lang w:val="en-US" w:eastAsia="zh-CN"/>
        </w:rPr>
        <w:t>相关学院</w:t>
      </w:r>
      <w:r>
        <w:rPr>
          <w:rFonts w:hint="eastAsia" w:ascii="仿宋_GB2312" w:hAnsi="仿宋_GB2312" w:eastAsia="仿宋_GB2312" w:cs="仿宋_GB2312"/>
          <w:sz w:val="32"/>
          <w:szCs w:val="32"/>
        </w:rPr>
        <w:t>与安徽高等研究院共同组织。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1.材料评议。对考生的报名材料进行审查评议，根据综合评议结果择优确定参加复试考核名单，并通知考生参加复试考核。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2.复试考核。复试综合考核以面试考核为主，按照报考学院复试安排进行。根据考核需要，可安排其他形式的考核，包括但不限于笔试、机试等。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五、录取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以考生的复试考核成绩为主要依据，综合考虑材料评议结果及导师招生培养情况，择优确定拟录取名单。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六、培养、授位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西安电子科技大学与安徽高等研究院共同制定的联合培养计划，课程学习在西安电子科技大学进行，科研实践在安徽高等研究院进行，学位（毕业）论文工作结合安徽高等研究院承担的国家重大科研任务完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2.西安电子科技大学根据修业年限、学业成绩等，按照国家和学校有关规定发放相应的、注明学习方式（全日制）的毕业证书；其学业水平达到国家和学校规定的学位标准，可以申请授予相应的学位证书。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七、其他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1.入学时间：202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秋季</w:t>
      </w:r>
      <w:r>
        <w:rPr>
          <w:rFonts w:hint="eastAsia" w:ascii="仿宋_GB2312" w:hAnsi="仿宋_GB2312" w:eastAsia="仿宋_GB2312" w:cs="仿宋_GB2312"/>
          <w:sz w:val="32"/>
          <w:szCs w:val="32"/>
        </w:rPr>
        <w:t>学期。</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2.学费与奖</w:t>
      </w:r>
      <w:r>
        <w:rPr>
          <w:rFonts w:hint="eastAsia" w:ascii="仿宋_GB2312" w:hAnsi="仿宋_GB2312" w:eastAsia="仿宋_GB2312" w:cs="仿宋_GB2312"/>
          <w:sz w:val="32"/>
          <w:szCs w:val="32"/>
          <w:highlight w:val="none"/>
        </w:rPr>
        <w:t>助：学费按照西安电子科技大学同类型博士研究生标准由学校收取。安徽高等研究院</w:t>
      </w:r>
      <w:r>
        <w:rPr>
          <w:rFonts w:hint="eastAsia" w:ascii="仿宋_GB2312" w:hAnsi="仿宋_GB2312" w:eastAsia="仿宋_GB2312" w:cs="仿宋_GB2312"/>
          <w:sz w:val="32"/>
          <w:szCs w:val="32"/>
          <w:highlight w:val="none"/>
          <w:lang w:val="en-US" w:eastAsia="zh-CN"/>
        </w:rPr>
        <w:t>确定的联培企业</w:t>
      </w:r>
      <w:r>
        <w:rPr>
          <w:rFonts w:hint="eastAsia" w:ascii="仿宋_GB2312" w:hAnsi="仿宋_GB2312" w:eastAsia="仿宋_GB2312" w:cs="仿宋_GB2312"/>
          <w:sz w:val="32"/>
          <w:szCs w:val="32"/>
          <w:highlight w:val="none"/>
        </w:rPr>
        <w:t>为联合培养博士生发放科研津贴</w:t>
      </w:r>
      <w:r>
        <w:rPr>
          <w:rFonts w:hint="eastAsia" w:ascii="仿宋_GB2312" w:hAnsi="仿宋_GB2312" w:eastAsia="仿宋_GB2312" w:cs="仿宋_GB2312"/>
          <w:sz w:val="32"/>
          <w:szCs w:val="32"/>
          <w:highlight w:val="none"/>
          <w:lang w:val="en-US" w:eastAsia="zh-CN"/>
        </w:rPr>
        <w:t>等各类资助</w:t>
      </w:r>
      <w:r>
        <w:rPr>
          <w:rFonts w:hint="eastAsia" w:ascii="仿宋_GB2312" w:hAnsi="仿宋_GB2312" w:eastAsia="仿宋_GB2312" w:cs="仿宋_GB2312"/>
          <w:sz w:val="32"/>
          <w:szCs w:val="32"/>
          <w:highlight w:val="none"/>
        </w:rPr>
        <w:t>。</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3.住宿安排：课程学习阶段由学校提供宿舍，科研实践阶段由安徽高等研究院</w:t>
      </w:r>
      <w:r>
        <w:rPr>
          <w:rFonts w:hint="eastAsia" w:ascii="仿宋_GB2312" w:hAnsi="仿宋_GB2312" w:eastAsia="仿宋_GB2312" w:cs="仿宋_GB2312"/>
          <w:sz w:val="32"/>
          <w:szCs w:val="32"/>
          <w:highlight w:val="none"/>
          <w:lang w:val="en-US" w:eastAsia="zh-CN"/>
        </w:rPr>
        <w:t>确定的联培企业</w:t>
      </w:r>
      <w:r>
        <w:rPr>
          <w:rFonts w:hint="eastAsia" w:ascii="仿宋_GB2312" w:hAnsi="仿宋_GB2312" w:eastAsia="仿宋_GB2312" w:cs="仿宋_GB2312"/>
          <w:sz w:val="32"/>
          <w:szCs w:val="32"/>
          <w:highlight w:val="none"/>
        </w:rPr>
        <w:t>提供集中住宿。</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.未尽事宜参见《西安电子科技大学202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年博士研究生招生简章》及其相关的实施细则。</w:t>
      </w:r>
    </w:p>
    <w:p>
      <w:pPr>
        <w:ind w:firstLine="3840" w:firstLineChars="1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西安电子科技大学研招办</w:t>
      </w:r>
    </w:p>
    <w:p>
      <w:pPr>
        <w:wordWrap w:val="0"/>
        <w:ind w:firstLine="4160" w:firstLineChars="13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安徽高等研究院</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p>
    <w:p>
      <w:pPr>
        <w:spacing w:line="560" w:lineRule="exact"/>
        <w:jc w:val="center"/>
        <w:rPr>
          <w:rFonts w:hint="eastAsia" w:ascii="Times New Roman" w:hAnsi="Times New Roman" w:eastAsia="方正小标宋简体" w:cs="Times New Roman"/>
          <w:kern w:val="0"/>
          <w:sz w:val="32"/>
          <w:szCs w:val="28"/>
        </w:rPr>
      </w:pPr>
      <w:r>
        <w:rPr>
          <w:rFonts w:hint="eastAsia" w:ascii="Times New Roman" w:hAnsi="Times New Roman" w:eastAsia="方正小标宋简体" w:cs="Times New Roman"/>
          <w:kern w:val="0"/>
          <w:sz w:val="32"/>
          <w:szCs w:val="28"/>
        </w:rPr>
        <w:t>西安电子科技大学-安徽高等研究院</w:t>
      </w:r>
      <w:r>
        <w:rPr>
          <w:rFonts w:hint="eastAsia" w:ascii="Times New Roman" w:hAnsi="Times New Roman" w:eastAsia="方正小标宋简体" w:cs="Times New Roman"/>
          <w:kern w:val="0"/>
          <w:sz w:val="32"/>
          <w:szCs w:val="28"/>
          <w:lang w:val="en-US" w:eastAsia="zh-CN"/>
        </w:rPr>
        <w:t>校企联培</w:t>
      </w:r>
      <w:r>
        <w:rPr>
          <w:rFonts w:hint="eastAsia" w:ascii="Times New Roman" w:hAnsi="Times New Roman" w:eastAsia="方正小标宋简体" w:cs="Times New Roman"/>
          <w:kern w:val="0"/>
          <w:sz w:val="32"/>
          <w:szCs w:val="28"/>
        </w:rPr>
        <w:t>博士专项计划</w:t>
      </w:r>
    </w:p>
    <w:p>
      <w:pPr>
        <w:spacing w:line="560" w:lineRule="exact"/>
        <w:jc w:val="center"/>
        <w:rPr>
          <w:rFonts w:hint="eastAsia" w:ascii="Times New Roman" w:hAnsi="Times New Roman" w:eastAsia="方正小标宋简体" w:cs="Times New Roman"/>
          <w:kern w:val="0"/>
          <w:sz w:val="32"/>
          <w:szCs w:val="28"/>
        </w:rPr>
      </w:pPr>
      <w:r>
        <w:rPr>
          <w:rFonts w:hint="eastAsia" w:ascii="Times New Roman" w:hAnsi="Times New Roman" w:eastAsia="方正小标宋简体" w:cs="Times New Roman"/>
          <w:kern w:val="0"/>
          <w:sz w:val="32"/>
          <w:szCs w:val="28"/>
        </w:rPr>
        <w:t>202</w:t>
      </w:r>
      <w:r>
        <w:rPr>
          <w:rFonts w:hint="eastAsia" w:ascii="Times New Roman" w:hAnsi="Times New Roman" w:eastAsia="方正小标宋简体" w:cs="Times New Roman"/>
          <w:kern w:val="0"/>
          <w:sz w:val="32"/>
          <w:szCs w:val="28"/>
          <w:lang w:val="en-US" w:eastAsia="zh-CN"/>
        </w:rPr>
        <w:t>4</w:t>
      </w:r>
      <w:r>
        <w:rPr>
          <w:rFonts w:hint="eastAsia" w:ascii="Times New Roman" w:hAnsi="Times New Roman" w:eastAsia="方正小标宋简体" w:cs="Times New Roman"/>
          <w:kern w:val="0"/>
          <w:sz w:val="32"/>
          <w:szCs w:val="28"/>
        </w:rPr>
        <w:t>年</w:t>
      </w:r>
      <w:r>
        <w:rPr>
          <w:rFonts w:hint="eastAsia" w:ascii="Times New Roman" w:hAnsi="Times New Roman" w:eastAsia="方正小标宋简体" w:cs="Times New Roman"/>
          <w:kern w:val="0"/>
          <w:sz w:val="32"/>
          <w:szCs w:val="28"/>
          <w:lang w:val="en-US" w:eastAsia="zh-CN"/>
        </w:rPr>
        <w:t>秋季</w:t>
      </w:r>
      <w:r>
        <w:rPr>
          <w:rFonts w:hint="eastAsia" w:ascii="Times New Roman" w:hAnsi="Times New Roman" w:eastAsia="方正小标宋简体" w:cs="Times New Roman"/>
          <w:kern w:val="0"/>
          <w:sz w:val="32"/>
          <w:szCs w:val="28"/>
        </w:rPr>
        <w:t>招生导师名单</w:t>
      </w:r>
    </w:p>
    <w:tbl>
      <w:tblPr>
        <w:tblStyle w:val="2"/>
        <w:tblW w:w="94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65"/>
        <w:gridCol w:w="2333"/>
        <w:gridCol w:w="2486"/>
        <w:gridCol w:w="2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20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val="0"/>
                <w:bCs w:val="0"/>
                <w:i w:val="0"/>
                <w:iCs w:val="0"/>
                <w:color w:val="000000"/>
                <w:sz w:val="24"/>
                <w:szCs w:val="24"/>
                <w:highlight w:val="none"/>
                <w:u w:val="none"/>
              </w:rPr>
            </w:pPr>
            <w:r>
              <w:rPr>
                <w:rFonts w:hint="eastAsia" w:ascii="仿宋_GB2312" w:hAnsi="仿宋_GB2312" w:eastAsia="仿宋_GB2312" w:cs="仿宋_GB2312"/>
                <w:b w:val="0"/>
                <w:bCs w:val="0"/>
                <w:kern w:val="0"/>
                <w:sz w:val="24"/>
                <w:szCs w:val="24"/>
                <w:highlight w:val="none"/>
              </w:rPr>
              <w:t>招生学位类别</w:t>
            </w:r>
            <w:r>
              <w:rPr>
                <w:rFonts w:hint="eastAsia" w:ascii="仿宋_GB2312" w:hAnsi="仿宋_GB2312" w:eastAsia="仿宋_GB2312" w:cs="仿宋_GB2312"/>
                <w:b w:val="0"/>
                <w:bCs w:val="0"/>
                <w:kern w:val="0"/>
                <w:sz w:val="24"/>
                <w:szCs w:val="24"/>
                <w:highlight w:val="none"/>
                <w:lang w:val="en-US" w:eastAsia="zh-CN"/>
              </w:rPr>
              <w:t>/学习方式</w:t>
            </w:r>
          </w:p>
        </w:tc>
        <w:tc>
          <w:tcPr>
            <w:tcW w:w="233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val="0"/>
                <w:bCs w:val="0"/>
                <w:i w:val="0"/>
                <w:iCs w:val="0"/>
                <w:color w:val="000000"/>
                <w:sz w:val="24"/>
                <w:szCs w:val="24"/>
                <w:highlight w:val="none"/>
                <w:u w:val="none"/>
              </w:rPr>
            </w:pPr>
            <w:r>
              <w:rPr>
                <w:rFonts w:hint="eastAsia" w:ascii="仿宋_GB2312" w:hAnsi="仿宋_GB2312" w:eastAsia="仿宋_GB2312" w:cs="仿宋_GB2312"/>
                <w:b w:val="0"/>
                <w:bCs w:val="0"/>
                <w:kern w:val="0"/>
                <w:sz w:val="24"/>
                <w:szCs w:val="24"/>
                <w:highlight w:val="none"/>
              </w:rPr>
              <w:t>招生学院</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val="0"/>
                <w:bCs w:val="0"/>
                <w:i w:val="0"/>
                <w:iCs w:val="0"/>
                <w:color w:val="000000"/>
                <w:sz w:val="24"/>
                <w:szCs w:val="24"/>
                <w:highlight w:val="none"/>
                <w:u w:val="none"/>
              </w:rPr>
            </w:pPr>
            <w:r>
              <w:rPr>
                <w:rFonts w:hint="eastAsia" w:ascii="仿宋_GB2312" w:hAnsi="仿宋_GB2312" w:eastAsia="仿宋_GB2312" w:cs="仿宋_GB2312"/>
                <w:b w:val="0"/>
                <w:bCs w:val="0"/>
                <w:kern w:val="0"/>
                <w:sz w:val="24"/>
                <w:szCs w:val="24"/>
                <w:highlight w:val="none"/>
              </w:rPr>
              <w:t>招生专业</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val="0"/>
                <w:bCs w:val="0"/>
                <w:i w:val="0"/>
                <w:iCs w:val="0"/>
                <w:color w:val="000000"/>
                <w:sz w:val="24"/>
                <w:szCs w:val="24"/>
                <w:highlight w:val="none"/>
                <w:u w:val="none"/>
              </w:rPr>
            </w:pPr>
            <w:r>
              <w:rPr>
                <w:rFonts w:hint="eastAsia" w:ascii="仿宋_GB2312" w:hAnsi="仿宋_GB2312" w:eastAsia="仿宋_GB2312" w:cs="仿宋_GB2312"/>
                <w:b w:val="0"/>
                <w:bCs w:val="0"/>
                <w:kern w:val="0"/>
                <w:sz w:val="24"/>
                <w:szCs w:val="24"/>
                <w:highlight w:val="none"/>
              </w:rPr>
              <w:t>招生导师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0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highlight w:val="none"/>
                <w:u w:val="none"/>
                <w:lang w:val="en-US" w:eastAsia="zh-CN"/>
              </w:rPr>
            </w:pPr>
            <w:r>
              <w:rPr>
                <w:rFonts w:hint="eastAsia" w:ascii="仿宋_GB2312" w:hAnsi="仿宋_GB2312" w:eastAsia="仿宋_GB2312" w:cs="仿宋_GB2312"/>
                <w:b w:val="0"/>
                <w:bCs w:val="0"/>
                <w:i w:val="0"/>
                <w:iCs w:val="0"/>
                <w:color w:val="000000"/>
                <w:sz w:val="24"/>
                <w:szCs w:val="24"/>
                <w:highlight w:val="none"/>
                <w:u w:val="none"/>
                <w:lang w:val="en-US" w:eastAsia="zh-CN"/>
              </w:rPr>
              <w:t>工程博士</w:t>
            </w:r>
          </w:p>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highlight w:val="none"/>
                <w:u w:val="none"/>
                <w:lang w:val="en-US" w:eastAsia="zh-CN"/>
              </w:rPr>
            </w:pPr>
            <w:r>
              <w:rPr>
                <w:rFonts w:hint="eastAsia" w:ascii="仿宋_GB2312" w:hAnsi="仿宋_GB2312" w:eastAsia="仿宋_GB2312" w:cs="仿宋_GB2312"/>
                <w:b w:val="0"/>
                <w:bCs w:val="0"/>
                <w:i w:val="0"/>
                <w:iCs w:val="0"/>
                <w:color w:val="000000"/>
                <w:sz w:val="24"/>
                <w:szCs w:val="24"/>
                <w:highlight w:val="none"/>
                <w:u w:val="none"/>
                <w:lang w:val="en-US" w:eastAsia="zh-CN"/>
              </w:rPr>
              <w:t>全日制/非全日制</w:t>
            </w:r>
          </w:p>
        </w:tc>
        <w:tc>
          <w:tcPr>
            <w:tcW w:w="23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highlight w:val="none"/>
                <w:u w:val="none"/>
                <w:lang w:val="en-US" w:eastAsia="zh-CN" w:bidi="ar"/>
              </w:rPr>
            </w:pPr>
            <w:r>
              <w:rPr>
                <w:rFonts w:hint="eastAsia" w:ascii="仿宋_GB2312" w:hAnsi="仿宋_GB2312" w:eastAsia="仿宋_GB2312" w:cs="仿宋_GB2312"/>
                <w:b w:val="0"/>
                <w:bCs w:val="0"/>
                <w:i w:val="0"/>
                <w:iCs w:val="0"/>
                <w:color w:val="000000"/>
                <w:kern w:val="0"/>
                <w:sz w:val="24"/>
                <w:szCs w:val="24"/>
                <w:highlight w:val="none"/>
                <w:u w:val="none"/>
                <w:lang w:val="en-US" w:eastAsia="zh-CN" w:bidi="ar"/>
              </w:rPr>
              <w:t>微电子学院</w:t>
            </w:r>
          </w:p>
        </w:tc>
        <w:tc>
          <w:tcPr>
            <w:tcW w:w="248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highlight w:val="none"/>
                <w:u w:val="none"/>
                <w:lang w:val="en-US" w:eastAsia="zh-CN"/>
              </w:rPr>
            </w:pPr>
            <w:r>
              <w:rPr>
                <w:rFonts w:hint="eastAsia" w:ascii="仿宋_GB2312" w:hAnsi="仿宋_GB2312" w:eastAsia="仿宋_GB2312" w:cs="仿宋_GB2312"/>
                <w:b w:val="0"/>
                <w:bCs w:val="0"/>
                <w:i w:val="0"/>
                <w:iCs w:val="0"/>
                <w:color w:val="000000"/>
                <w:sz w:val="24"/>
                <w:szCs w:val="24"/>
                <w:highlight w:val="none"/>
                <w:u w:val="none"/>
                <w:lang w:val="en-US" w:eastAsia="zh-CN"/>
              </w:rPr>
              <w:t>电子信息</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highlight w:val="none"/>
                <w:u w:val="none"/>
                <w:lang w:val="en-US" w:eastAsia="zh-CN"/>
              </w:rPr>
            </w:pPr>
            <w:r>
              <w:rPr>
                <w:rFonts w:hint="eastAsia" w:ascii="仿宋_GB2312" w:hAnsi="仿宋_GB2312" w:eastAsia="仿宋_GB2312" w:cs="仿宋_GB2312"/>
                <w:b w:val="0"/>
                <w:bCs w:val="0"/>
                <w:i w:val="0"/>
                <w:iCs w:val="0"/>
                <w:color w:val="000000"/>
                <w:sz w:val="24"/>
                <w:szCs w:val="24"/>
                <w:highlight w:val="none"/>
                <w:u w:val="none"/>
                <w:lang w:val="en-US" w:eastAsia="zh-CN"/>
              </w:rPr>
              <w:t>张进成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0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highlight w:val="none"/>
                <w:u w:val="none"/>
              </w:rPr>
            </w:pPr>
          </w:p>
        </w:tc>
        <w:tc>
          <w:tcPr>
            <w:tcW w:w="23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highlight w:val="none"/>
                <w:u w:val="none"/>
                <w:lang w:bidi="ar"/>
              </w:rPr>
            </w:pPr>
            <w:r>
              <w:rPr>
                <w:rFonts w:hint="eastAsia" w:ascii="仿宋_GB2312" w:hAnsi="仿宋_GB2312" w:eastAsia="仿宋_GB2312" w:cs="仿宋_GB2312"/>
                <w:b w:val="0"/>
                <w:bCs w:val="0"/>
                <w:i w:val="0"/>
                <w:iCs w:val="0"/>
                <w:color w:val="000000"/>
                <w:kern w:val="0"/>
                <w:sz w:val="24"/>
                <w:szCs w:val="24"/>
                <w:highlight w:val="none"/>
                <w:u w:val="none"/>
                <w:lang w:val="en-US" w:eastAsia="zh-CN" w:bidi="ar"/>
              </w:rPr>
              <w:t>微电子学院</w:t>
            </w:r>
          </w:p>
        </w:tc>
        <w:tc>
          <w:tcPr>
            <w:tcW w:w="248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highlight w:val="none"/>
                <w:u w:val="none"/>
              </w:rPr>
            </w:pPr>
            <w:r>
              <w:rPr>
                <w:rFonts w:hint="eastAsia" w:ascii="仿宋_GB2312" w:hAnsi="仿宋_GB2312" w:eastAsia="仿宋_GB2312" w:cs="仿宋_GB2312"/>
                <w:b w:val="0"/>
                <w:bCs w:val="0"/>
                <w:i w:val="0"/>
                <w:iCs w:val="0"/>
                <w:color w:val="000000"/>
                <w:sz w:val="24"/>
                <w:szCs w:val="24"/>
                <w:highlight w:val="none"/>
                <w:u w:val="none"/>
                <w:lang w:val="en-US" w:eastAsia="zh-CN"/>
              </w:rPr>
              <w:t>电子信息</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highlight w:val="none"/>
                <w:u w:val="none"/>
                <w:lang w:val="en-US" w:eastAsia="zh-CN"/>
              </w:rPr>
            </w:pPr>
            <w:r>
              <w:rPr>
                <w:rFonts w:hint="eastAsia" w:ascii="仿宋_GB2312" w:hAnsi="仿宋_GB2312" w:eastAsia="仿宋_GB2312" w:cs="仿宋_GB2312"/>
                <w:b w:val="0"/>
                <w:bCs w:val="0"/>
                <w:i w:val="0"/>
                <w:iCs w:val="0"/>
                <w:color w:val="000000"/>
                <w:sz w:val="24"/>
                <w:szCs w:val="24"/>
                <w:highlight w:val="none"/>
                <w:u w:val="none"/>
                <w:lang w:val="en-US" w:eastAsia="zh-CN"/>
              </w:rPr>
              <w:t>张艺蒙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0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highlight w:val="none"/>
                <w:u w:val="none"/>
              </w:rPr>
            </w:pPr>
          </w:p>
        </w:tc>
        <w:tc>
          <w:tcPr>
            <w:tcW w:w="23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highlight w:val="none"/>
                <w:u w:val="none"/>
                <w:lang w:bidi="ar"/>
              </w:rPr>
            </w:pPr>
            <w:r>
              <w:rPr>
                <w:rFonts w:hint="eastAsia" w:ascii="仿宋_GB2312" w:hAnsi="仿宋_GB2312" w:eastAsia="仿宋_GB2312" w:cs="仿宋_GB2312"/>
                <w:b w:val="0"/>
                <w:bCs w:val="0"/>
                <w:i w:val="0"/>
                <w:iCs w:val="0"/>
                <w:color w:val="000000"/>
                <w:kern w:val="0"/>
                <w:sz w:val="24"/>
                <w:szCs w:val="24"/>
                <w:highlight w:val="none"/>
                <w:u w:val="none"/>
                <w:lang w:val="en-US" w:eastAsia="zh-CN" w:bidi="ar"/>
              </w:rPr>
              <w:t>微电子学院</w:t>
            </w:r>
          </w:p>
        </w:tc>
        <w:tc>
          <w:tcPr>
            <w:tcW w:w="248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highlight w:val="none"/>
                <w:u w:val="none"/>
              </w:rPr>
            </w:pPr>
            <w:r>
              <w:rPr>
                <w:rFonts w:hint="eastAsia" w:ascii="仿宋_GB2312" w:hAnsi="仿宋_GB2312" w:eastAsia="仿宋_GB2312" w:cs="仿宋_GB2312"/>
                <w:b w:val="0"/>
                <w:bCs w:val="0"/>
                <w:i w:val="0"/>
                <w:iCs w:val="0"/>
                <w:color w:val="000000"/>
                <w:sz w:val="24"/>
                <w:szCs w:val="24"/>
                <w:highlight w:val="none"/>
                <w:u w:val="none"/>
                <w:lang w:val="en-US" w:eastAsia="zh-CN"/>
              </w:rPr>
              <w:t>电子信息</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highlight w:val="none"/>
                <w:u w:val="none"/>
                <w:lang w:val="en-US" w:eastAsia="zh-CN"/>
              </w:rPr>
            </w:pPr>
            <w:r>
              <w:rPr>
                <w:rFonts w:hint="eastAsia" w:ascii="仿宋_GB2312" w:hAnsi="仿宋_GB2312" w:eastAsia="仿宋_GB2312" w:cs="仿宋_GB2312"/>
                <w:b w:val="0"/>
                <w:bCs w:val="0"/>
                <w:i w:val="0"/>
                <w:iCs w:val="0"/>
                <w:color w:val="000000"/>
                <w:sz w:val="24"/>
                <w:szCs w:val="24"/>
                <w:highlight w:val="none"/>
                <w:u w:val="none"/>
                <w:lang w:val="en-US" w:eastAsia="zh-CN"/>
              </w:rPr>
              <w:t>张玉明</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5B887A3-233F-4503-BDE3-D18E2F876E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2BBDC356-CABE-4DE6-9D23-EDF30C7FB8EF}"/>
  </w:font>
  <w:font w:name="方正小标宋简体">
    <w:panose1 w:val="02000000000000000000"/>
    <w:charset w:val="86"/>
    <w:family w:val="auto"/>
    <w:pitch w:val="default"/>
    <w:sig w:usb0="00000001" w:usb1="08000000" w:usb2="00000000" w:usb3="00000000" w:csb0="00040000" w:csb1="00000000"/>
    <w:embedRegular r:id="rId3" w:fontKey="{3D4B7786-6008-491F-8029-3BA22A17A222}"/>
  </w:font>
  <w:font w:name="仿宋_GB2312">
    <w:panose1 w:val="02010609030101010101"/>
    <w:charset w:val="86"/>
    <w:family w:val="modern"/>
    <w:pitch w:val="default"/>
    <w:sig w:usb0="00000001" w:usb1="080E0000" w:usb2="00000000" w:usb3="00000000" w:csb0="00040000" w:csb1="00000000"/>
    <w:embedRegular r:id="rId4" w:fontKey="{3FB426D6-6627-49A7-9C6C-977012213DE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yMmJkNDI0ZDhlMjY1MDE4Njc3NWQ0ZWZkNTYxZjcifQ=="/>
  </w:docVars>
  <w:rsids>
    <w:rsidRoot w:val="19551657"/>
    <w:rsid w:val="01DC3B76"/>
    <w:rsid w:val="19551657"/>
    <w:rsid w:val="56C97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2024-04-11T07:42:00Z</dcterms:created>
  <dc:creator>LXWू･ω･` )Molly</dc:creator>
  <cp:lastModifiedBy>LXWू･ω･` )Molly</cp:lastModifiedBy>
  <dcterms:modified xsi:type="dcterms:W3CDTF">2024-04-11T09:03:31Z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9B5F72E2D879422E8414B0DBBEE6B55C_11</vt:lpwstr>
  </property>
</Properties>
</file>