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8021A">
      <w:pPr>
        <w:pStyle w:val="4"/>
        <w:widowControl/>
        <w:shd w:val="clear" w:color="auto" w:fill="FFFFFF"/>
        <w:spacing w:before="0" w:beforeAutospacing="0" w:after="0" w:afterAutospacing="0" w:line="360" w:lineRule="auto"/>
        <w:jc w:val="center"/>
        <w:rPr>
          <w:rFonts w:hint="eastAsia" w:ascii="宋体" w:hAnsi="宋体" w:cs="宋体"/>
          <w:b/>
          <w:bCs/>
          <w:color w:val="333333"/>
          <w:sz w:val="28"/>
          <w:szCs w:val="28"/>
          <w:shd w:val="clear" w:color="auto" w:fill="FFFFFF"/>
        </w:rPr>
      </w:pPr>
      <w:r>
        <w:rPr>
          <w:rFonts w:hint="eastAsia" w:ascii="宋体" w:hAnsi="宋体" w:cs="宋体"/>
          <w:b/>
          <w:bCs/>
          <w:color w:val="333333"/>
          <w:sz w:val="28"/>
          <w:szCs w:val="28"/>
          <w:shd w:val="clear" w:color="auto" w:fill="FFFFFF"/>
        </w:rPr>
        <w:t>化学化工与材料学院2027年招收博士研究生“硕博连读”、</w:t>
      </w:r>
    </w:p>
    <w:p w14:paraId="4C063D9B">
      <w:pPr>
        <w:pStyle w:val="4"/>
        <w:widowControl/>
        <w:shd w:val="clear" w:color="auto" w:fill="FFFFFF"/>
        <w:spacing w:before="0" w:beforeAutospacing="0" w:after="0" w:afterAutospacing="0" w:line="360" w:lineRule="auto"/>
        <w:jc w:val="center"/>
        <w:rPr>
          <w:rFonts w:hint="eastAsia" w:ascii="宋体" w:hAnsi="宋体" w:cs="宋体"/>
          <w:b/>
          <w:bCs/>
          <w:color w:val="333333"/>
          <w:sz w:val="28"/>
          <w:szCs w:val="28"/>
          <w:shd w:val="clear" w:color="auto" w:fill="FFFFFF"/>
        </w:rPr>
      </w:pPr>
      <w:r>
        <w:rPr>
          <w:rFonts w:hint="eastAsia" w:ascii="宋体" w:hAnsi="宋体" w:cs="宋体"/>
          <w:b/>
          <w:bCs/>
          <w:color w:val="333333"/>
          <w:sz w:val="28"/>
          <w:szCs w:val="28"/>
          <w:shd w:val="clear" w:color="auto" w:fill="FFFFFF"/>
        </w:rPr>
        <w:t>“申请-考核制”实施办法</w:t>
      </w:r>
    </w:p>
    <w:p w14:paraId="479B543E">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为吸引优秀人才到黑龙江大学攻读博士学位，进一步提高博士生的招生质量，根据《教育部国家发展改革委财政部关于加快新时代研究生教育改革发展的意见》（教研【2020】9号文件）、《关于加快推动博士研究生教育高质量发展的意见》和《黑龙江大学招收攻读博士学位研究生工作管理办法（修订）》，黑龙江大学化学化工与材料学院在2027年博士生招生中继续开展“硕博连读”和“申请-考核制”，有关规定和安排如下：</w:t>
      </w:r>
    </w:p>
    <w:p w14:paraId="365F3E5B">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一、组织领导</w:t>
      </w:r>
    </w:p>
    <w:p w14:paraId="1A957802">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1．化学化工与材料学院研究生招生工作领导小组负责我院“硕博连读”、“申请-考核制”招考博士研究生招生复试录取的领导、组织和监督，组织制定化学化工与材料学院复试录取工作实施细则，处理复试录取中的重要问题，巡视各学科复试情况，协调全院的复试录取工作。</w:t>
      </w:r>
    </w:p>
    <w:p w14:paraId="0E48F1B5">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组 长：徐英明</w:t>
      </w:r>
    </w:p>
    <w:p w14:paraId="1F6D5811">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副组长：曲阳</w:t>
      </w:r>
    </w:p>
    <w:p w14:paraId="40D83734">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成 员：朱宇君、王国凤、孙文彬、谢颖、王蕾</w:t>
      </w:r>
    </w:p>
    <w:p w14:paraId="08AAE42E">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2．按博士招生学科，分别成立各专业复试小组。</w:t>
      </w:r>
    </w:p>
    <w:p w14:paraId="48159729">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二、选拔原则</w:t>
      </w:r>
    </w:p>
    <w:p w14:paraId="5561ADA8">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坚持公开公正、全面衡量、择优选拔、宁缺毋滥的选拔原则。在选拔中以考生的创新能力、科研潜力、综合素质和已获得的学术成果为依据，选拔具有创新能力和培养潜力的拔尖创新人才进入黑龙江大学攻读博士研究生。</w:t>
      </w:r>
    </w:p>
    <w:p w14:paraId="077A20B1">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三、招生学科及名额分配</w:t>
      </w:r>
    </w:p>
    <w:p w14:paraId="1A3E44D3">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（一）参照学校公布的《黑龙江大学2027年攻读博士学位研究生招生章程》。注册合格且具备招生资格的博士生导师均可招收“硕博连读”、“申请-考核制”考生。</w:t>
      </w:r>
    </w:p>
    <w:p w14:paraId="24DF022E">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（二）“硕博连读”、“申请-考核制”录取博士生占用学科本年度招生计划。</w:t>
      </w:r>
    </w:p>
    <w:p w14:paraId="2CAD2608">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四、申请条件</w:t>
      </w:r>
    </w:p>
    <w:p w14:paraId="12699783">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（一）硕博连读考生申请条件</w:t>
      </w:r>
    </w:p>
    <w:p w14:paraId="0ABDDB0F">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1．拥护中国共产党的领导，具有正确的政治方向，热爱祖国，愿意为社会主义现代化建设服务，遵纪守法，品行端正；</w:t>
      </w:r>
    </w:p>
    <w:p w14:paraId="308974BD">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2．诚实守信，学风端正，攻读硕士期间无考试作弊、剽窃他人学术成果记录或其他学术不端行为，考生在校期间遵守校规校纪，无受处分未解除的情形；</w:t>
      </w:r>
    </w:p>
    <w:p w14:paraId="24504988">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3．身体和心理健康状况符合国家和我校规定；</w:t>
      </w:r>
    </w:p>
    <w:p w14:paraId="3721BC33">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4. 具有较强的科研能力，具有进一步学习、研究的志趣，且具备相应的科研基础；</w:t>
      </w:r>
    </w:p>
    <w:p w14:paraId="243DC98B">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5．本校一、二年级全日制在读硕士生（不含延期阶段的硕士生、定向培养硕士生），一年级在读硕士生原则上应为本硕连读或提前修读硕士生；</w:t>
      </w:r>
    </w:p>
    <w:p w14:paraId="7169AB3D">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6.硕士研究生就读期间获得1次</w:t>
      </w:r>
      <w:r>
        <w:rPr>
          <w:rFonts w:ascii="宋体" w:hAnsi="宋体" w:cs="宋体"/>
          <w:color w:val="333333"/>
          <w:shd w:val="clear" w:color="auto" w:fill="FFFFFF"/>
        </w:rPr>
        <w:t>三</w:t>
      </w:r>
      <w:r>
        <w:rPr>
          <w:rFonts w:hint="eastAsia" w:ascii="宋体" w:hAnsi="宋体" w:cs="宋体"/>
          <w:color w:val="333333"/>
          <w:shd w:val="clear" w:color="auto" w:fill="FFFFFF"/>
        </w:rPr>
        <w:t>等以上（含</w:t>
      </w:r>
      <w:r>
        <w:rPr>
          <w:rFonts w:ascii="宋体" w:hAnsi="宋体" w:cs="宋体"/>
          <w:color w:val="333333"/>
          <w:shd w:val="clear" w:color="auto" w:fill="FFFFFF"/>
        </w:rPr>
        <w:t>三</w:t>
      </w:r>
      <w:r>
        <w:rPr>
          <w:rFonts w:hint="eastAsia" w:ascii="宋体" w:hAnsi="宋体" w:cs="宋体"/>
          <w:color w:val="333333"/>
          <w:shd w:val="clear" w:color="auto" w:fill="FFFFFF"/>
        </w:rPr>
        <w:t>等）学业奖学金或1次国家奖学金，原则上已完成硕士阶段课程且成绩优异。参与导师主持在研的国家级重大重点项目（重点项目可破格1名研究生、重大项目可破格2名研究生）、科研发展潜力或学术成果特别突出者，由学院学位评定分委员会审批通过后，向学校研究生招生工作领导小组报备，此项规定条件可适当放宽；</w:t>
      </w:r>
    </w:p>
    <w:p w14:paraId="7DDB49E1">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7．经所申请导师同意及两名所申请学科专业领域教授（或相当专业技术职称专家）书面推荐。</w:t>
      </w:r>
    </w:p>
    <w:p w14:paraId="6E6D84A0">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（二）申请-考核制考生申请条件</w:t>
      </w:r>
    </w:p>
    <w:p w14:paraId="244A8D3B">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1．拥护中国共产党的领导，具有正确的政治方向，热爱祖国，愿意为社会主义现代化建设服务，遵纪守法，品行端正，年龄一般在35周岁以下；</w:t>
      </w:r>
    </w:p>
    <w:p w14:paraId="5B18CE40">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2.诚实守信，学风端正，攻读硕士期间无考试作弊、剽窃他人学术成果记录或其他学术不端行为，考生在校期间遵守校规校纪，无受处分未解除的情形；</w:t>
      </w:r>
    </w:p>
    <w:p w14:paraId="61AD4178">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3.身体和心理健康状况符合国家和我校规定；</w:t>
      </w:r>
    </w:p>
    <w:p w14:paraId="4EB578BA">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4.具有较强的科研能力，具有进一步学习、研究的志趣，且具备相应的科研基础；</w:t>
      </w:r>
    </w:p>
    <w:p w14:paraId="22E55323">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5．考生应取得硕士及以上学位证书和研究生毕业证书，能够非定向全脱产在学校学习（高校教师报考类别按定向报考，按非定向对待）。应届硕士毕业生原则上须在2027年9月1日前取得硕士学位证书和研究生毕业证书；非应届硕士毕业生须在拟录取公示后一个月内，将人事档案转至黑龙江大学。不符合上述条件的考生将取消录取资格。我校鼓励毕业三年内的硕士生攻读“申请考核制”博士研究生。</w:t>
      </w:r>
    </w:p>
    <w:p w14:paraId="52B317D7">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6．所申请博士专业须与硕士专业相同或相近；</w:t>
      </w:r>
    </w:p>
    <w:p w14:paraId="3BA680CD">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7．具备较强的科研能力和学术发展潜力，需满足下列条件之一：申请人在申请前3年（202</w:t>
      </w:r>
      <w:r>
        <w:rPr>
          <w:rFonts w:hint="eastAsia" w:ascii="宋体" w:hAnsi="宋体" w:cs="宋体"/>
          <w:color w:val="333333"/>
          <w:shd w:val="clear" w:color="auto" w:fill="FFFFFF"/>
          <w:lang w:val="en-US" w:eastAsia="zh-CN"/>
        </w:rPr>
        <w:t>4</w:t>
      </w:r>
      <w:bookmarkStart w:id="0" w:name="_GoBack"/>
      <w:bookmarkEnd w:id="0"/>
      <w:r>
        <w:rPr>
          <w:rFonts w:hint="eastAsia" w:ascii="宋体" w:hAnsi="宋体" w:cs="宋体"/>
          <w:color w:val="333333"/>
          <w:shd w:val="clear" w:color="auto" w:fill="FFFFFF"/>
        </w:rPr>
        <w:t>年1月1日—申请日）内以第一作者身份公开发表与申请攻读博士学位研究领域相关的SCI或EI论文1篇。申请人在学期间同其导师共同发表学术论文，由导师和申请人分署第一和第二作者的，可视同申请人为第一作者；或获得一项授权发明专利，专利中学生为第一或第二贡献人（导师应为第一贡献人）；应届硕士毕业生就读期间获得1次国家奖学金或一等学业奖学金，已完成硕士阶段课程且成绩优异；“双一流”建设高校、高水平科研院所或国外高水平大学的毕业生可免除公开发表论文的要求；</w:t>
      </w:r>
    </w:p>
    <w:p w14:paraId="7DA80F50">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8．经所申请导师同意及两名所申请学科专业领域教授（或相当专业技术职称专家）书面推荐；</w:t>
      </w:r>
    </w:p>
    <w:p w14:paraId="33605DE9">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9．学术成果突出者，由学院学位评定分委员会审批通过后，向学校研究生招生工作领导小组报备，考生的年龄可放宽1至2岁，对发表成果的年限也可适当放宽。</w:t>
      </w:r>
    </w:p>
    <w:p w14:paraId="2F92479C">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五、初试</w:t>
      </w:r>
    </w:p>
    <w:p w14:paraId="0BAFF826">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考生须参加学校统一组织的外语水平考试，成绩合格后方可进入复试阶段。</w:t>
      </w:r>
    </w:p>
    <w:p w14:paraId="21C833F3">
      <w:pPr>
        <w:pStyle w:val="4"/>
        <w:widowControl/>
        <w:shd w:val="clear" w:color="auto" w:fill="FFFFFF"/>
        <w:adjustRightInd w:val="0"/>
        <w:snapToGrid w:val="0"/>
        <w:spacing w:before="0" w:beforeAutospacing="0" w:after="0" w:afterAutospacing="0" w:line="300" w:lineRule="auto"/>
        <w:ind w:firstLine="482" w:firstLineChars="200"/>
        <w:jc w:val="both"/>
        <w:rPr>
          <w:rFonts w:hint="eastAsia" w:ascii="宋体" w:hAnsi="宋体" w:cs="宋体"/>
          <w:color w:val="333333"/>
          <w:shd w:val="clear" w:color="auto" w:fill="FFFFFF"/>
        </w:rPr>
      </w:pPr>
      <w:r>
        <w:rPr>
          <w:rFonts w:hint="eastAsia" w:ascii="宋体" w:hAnsi="宋体" w:cs="宋体"/>
          <w:b/>
          <w:bCs/>
          <w:color w:val="333333"/>
          <w:shd w:val="clear" w:color="auto" w:fill="FFFFFF"/>
        </w:rPr>
        <w:t>（一）初审</w:t>
      </w:r>
    </w:p>
    <w:p w14:paraId="59DE638F">
      <w:pPr>
        <w:pStyle w:val="4"/>
        <w:widowControl/>
        <w:shd w:val="clear" w:color="auto" w:fill="FFFFFF"/>
        <w:adjustRightInd w:val="0"/>
        <w:snapToGrid w:val="0"/>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学生的报名材料先经过院学术委员会对学生科研成果审核，再由院学位分委员会对符合复试条件的考生进行表决，确定可以参加复试的考生名单。</w:t>
      </w:r>
    </w:p>
    <w:p w14:paraId="20BBC504">
      <w:pPr>
        <w:pStyle w:val="4"/>
        <w:widowControl/>
        <w:shd w:val="clear" w:color="auto" w:fill="FFFFFF"/>
        <w:adjustRightInd w:val="0"/>
        <w:snapToGrid w:val="0"/>
        <w:spacing w:before="0" w:beforeAutospacing="0" w:after="0" w:afterAutospacing="0" w:line="300" w:lineRule="auto"/>
        <w:ind w:firstLine="482" w:firstLineChars="200"/>
        <w:jc w:val="both"/>
        <w:rPr>
          <w:rFonts w:hint="eastAsia" w:ascii="宋体" w:hAnsi="宋体" w:cs="宋体"/>
          <w:b/>
          <w:bCs/>
          <w:color w:val="333333"/>
        </w:rPr>
      </w:pPr>
      <w:r>
        <w:rPr>
          <w:rFonts w:hint="eastAsia" w:ascii="宋体" w:hAnsi="宋体" w:cs="宋体"/>
          <w:b/>
          <w:bCs/>
          <w:color w:val="333333"/>
        </w:rPr>
        <w:t>（二）外语</w:t>
      </w:r>
    </w:p>
    <w:p w14:paraId="44D48601">
      <w:pPr>
        <w:pStyle w:val="4"/>
        <w:widowControl/>
        <w:shd w:val="clear" w:color="auto" w:fill="FFFFFF"/>
        <w:adjustRightInd w:val="0"/>
        <w:snapToGrid w:val="0"/>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考生须参加学校统一组织的外语水平考试，成绩合格后，方可进入复试阶段。初试时间</w:t>
      </w:r>
      <w:r>
        <w:rPr>
          <w:rFonts w:hint="eastAsia" w:ascii="宋体" w:hAnsi="宋体" w:cs="宋体"/>
          <w:shd w:val="clear" w:color="auto" w:fill="FFFFFF"/>
        </w:rPr>
        <w:t>地</w:t>
      </w:r>
      <w:r>
        <w:rPr>
          <w:rFonts w:hint="eastAsia" w:ascii="宋体" w:hAnsi="宋体" w:cs="宋体"/>
          <w:color w:val="333333"/>
          <w:shd w:val="clear" w:color="auto" w:fill="FFFFFF"/>
        </w:rPr>
        <w:t>点另行通知。如考生具有以下条件之一，可申请初试外语免考：</w:t>
      </w:r>
    </w:p>
    <w:p w14:paraId="63C572CF">
      <w:pPr>
        <w:pStyle w:val="4"/>
        <w:widowControl/>
        <w:shd w:val="clear" w:color="auto" w:fill="FFFFFF"/>
        <w:adjustRightInd w:val="0"/>
        <w:snapToGrid w:val="0"/>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1．通过国家六级（六级成绩达到425分）或国家四级优秀（四级成绩达到550分）；</w:t>
      </w:r>
    </w:p>
    <w:p w14:paraId="05BED454">
      <w:pPr>
        <w:pStyle w:val="4"/>
        <w:widowControl/>
        <w:shd w:val="clear" w:color="auto" w:fill="FFFFFF"/>
        <w:adjustRightInd w:val="0"/>
        <w:snapToGrid w:val="0"/>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2．托福（新TOEFL）成绩达到80分；</w:t>
      </w:r>
    </w:p>
    <w:p w14:paraId="2178ED4F">
      <w:pPr>
        <w:pStyle w:val="4"/>
        <w:widowControl/>
        <w:shd w:val="clear" w:color="auto" w:fill="FFFFFF"/>
        <w:adjustRightInd w:val="0"/>
        <w:snapToGrid w:val="0"/>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3．雅思（IELTS）成绩达到6.0分以上；</w:t>
      </w:r>
    </w:p>
    <w:p w14:paraId="49E74DE9">
      <w:pPr>
        <w:pStyle w:val="4"/>
        <w:widowControl/>
        <w:shd w:val="clear" w:color="auto" w:fill="FFFFFF"/>
        <w:adjustRightInd w:val="0"/>
        <w:snapToGrid w:val="0"/>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4．GRE成绩新标准300分以上；</w:t>
      </w:r>
    </w:p>
    <w:p w14:paraId="543D204B">
      <w:pPr>
        <w:pStyle w:val="4"/>
        <w:widowControl/>
        <w:shd w:val="clear" w:color="auto" w:fill="FFFFFF"/>
        <w:adjustRightInd w:val="0"/>
        <w:snapToGrid w:val="0"/>
        <w:spacing w:before="0" w:beforeAutospacing="0" w:after="0" w:afterAutospacing="0" w:line="300" w:lineRule="auto"/>
        <w:ind w:firstLine="480" w:firstLineChars="200"/>
        <w:jc w:val="both"/>
        <w:rPr>
          <w:rFonts w:hint="eastAsia" w:ascii="宋体" w:hAnsi="宋体" w:cs="宋体"/>
          <w:color w:val="333333"/>
        </w:rPr>
      </w:pPr>
      <w:r>
        <w:rPr>
          <w:rFonts w:hint="eastAsia" w:ascii="宋体" w:hAnsi="宋体" w:cs="宋体"/>
          <w:color w:val="333333"/>
          <w:shd w:val="clear" w:color="auto" w:fill="FFFFFF"/>
        </w:rPr>
        <w:t>5．曾在英语国家或地区受到学历教育、获得学士、硕士或博士学位，学位证书获国家教育部认证；或在国外有1年以上（含1年）学习经历人员（需提供国外学习经历的证明和成绩单）；</w:t>
      </w:r>
    </w:p>
    <w:p w14:paraId="3A7C0C8C">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6．申请外国语言文学一级学科的考生第二外国语水平参照上述条件要求。</w:t>
      </w:r>
    </w:p>
    <w:p w14:paraId="208089D2">
      <w:pPr>
        <w:pStyle w:val="4"/>
        <w:widowControl/>
        <w:numPr>
          <w:ilvl w:val="0"/>
          <w:numId w:val="1"/>
        </w:numPr>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复试形式及内容</w:t>
      </w:r>
    </w:p>
    <w:p w14:paraId="2D27AEE7">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各学科组织“硕博连读”、“申请考核制”初审通过且初试合格的考生，进行复试。</w:t>
      </w:r>
    </w:p>
    <w:p w14:paraId="3786D04C">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1.复试形式为面试，每个考生复试时间不低于40分钟。</w:t>
      </w:r>
    </w:p>
    <w:p w14:paraId="11CC6CDF">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2.考生应向复试小组汇报个人学习科研经历和代表性成果，阐述读博期间拟从事研究领域及研究工作设想。</w:t>
      </w:r>
    </w:p>
    <w:p w14:paraId="6DA8EF69">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3.复试小组综合考核考生专业基础、对学科前沿的把握、科研创新能力及科研潜力等，旨在择优选拔科研能力突出、具有培养潜力的学生。</w:t>
      </w:r>
    </w:p>
    <w:p w14:paraId="6D36DA33">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rPr>
        <w:t>4.复试小组对考生的思想政治素质和品德进行考核。主要考核考生本人的现实表现，内容包括考生的政治态度、思想表现、道德品质、遵纪守法、诚实守信等方面。考核结论分为合格和不合格，考核不合格考生不予录取。</w:t>
      </w:r>
    </w:p>
    <w:p w14:paraId="6162A13E">
      <w:pPr>
        <w:pStyle w:val="4"/>
        <w:widowControl/>
        <w:numPr>
          <w:ilvl w:val="0"/>
          <w:numId w:val="1"/>
        </w:numPr>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rPr>
      </w:pPr>
      <w:r>
        <w:rPr>
          <w:rFonts w:hint="eastAsia" w:ascii="宋体" w:hAnsi="宋体" w:cs="宋体"/>
          <w:color w:val="333333"/>
          <w:shd w:val="clear" w:color="auto" w:fill="FFFFFF"/>
        </w:rPr>
        <w:t>成绩计算</w:t>
      </w:r>
    </w:p>
    <w:p w14:paraId="56EE3057">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1.复试满分100分，60分合格，复试不合格者不予录取。</w:t>
      </w:r>
    </w:p>
    <w:p w14:paraId="41B0FAF8">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2.复试成绩计算办法；</w:t>
      </w:r>
    </w:p>
    <w:p w14:paraId="0302244D">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复试小组各成员所打分的平均分为考生复试成绩。</w:t>
      </w:r>
    </w:p>
    <w:p w14:paraId="18F9166F">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3.最终成绩计算办法；</w:t>
      </w:r>
    </w:p>
    <w:p w14:paraId="4F126E2D">
      <w:pPr>
        <w:adjustRightInd w:val="0"/>
        <w:snapToGrid w:val="0"/>
        <w:spacing w:line="300" w:lineRule="auto"/>
        <w:ind w:firstLine="480" w:firstLineChars="200"/>
        <w:rPr>
          <w:rFonts w:hint="eastAsia" w:ascii="宋体" w:hAnsi="宋体" w:cs="宋体"/>
          <w:color w:val="333333"/>
          <w:sz w:val="24"/>
          <w:shd w:val="clear" w:color="auto" w:fill="FFFFFF"/>
        </w:rPr>
      </w:pPr>
      <w:r>
        <w:rPr>
          <w:rFonts w:hint="eastAsia" w:ascii="宋体" w:hAnsi="宋体" w:cs="宋体"/>
          <w:sz w:val="24"/>
        </w:rPr>
        <w:t>最终成绩=专业考核成绩。</w:t>
      </w:r>
    </w:p>
    <w:p w14:paraId="25A423A4">
      <w:pPr>
        <w:pStyle w:val="4"/>
        <w:widowControl/>
        <w:numPr>
          <w:ilvl w:val="0"/>
          <w:numId w:val="1"/>
        </w:numPr>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lang w:bidi="ar"/>
        </w:rPr>
      </w:pPr>
      <w:r>
        <w:rPr>
          <w:rFonts w:hint="eastAsia" w:ascii="宋体" w:hAnsi="宋体" w:cs="宋体"/>
          <w:color w:val="333333"/>
          <w:shd w:val="clear" w:color="auto" w:fill="FFFFFF"/>
          <w:lang w:bidi="ar"/>
        </w:rPr>
        <w:t>录取</w:t>
      </w:r>
    </w:p>
    <w:p w14:paraId="14EA43AB">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lang w:bidi="ar"/>
        </w:rPr>
      </w:pPr>
      <w:r>
        <w:rPr>
          <w:rFonts w:hint="eastAsia" w:ascii="宋体" w:hAnsi="宋体" w:cs="宋体"/>
        </w:rPr>
        <w:t>复试合格考生在招生计划内按照报考导师根据考生最终成绩从高到低进行录取，根据考生最终成绩从高到低进行录取。</w:t>
      </w:r>
    </w:p>
    <w:p w14:paraId="4B7F45C8">
      <w:pPr>
        <w:pStyle w:val="4"/>
        <w:widowControl/>
        <w:shd w:val="clear" w:color="auto" w:fill="FFFFFF"/>
        <w:spacing w:before="0" w:beforeAutospacing="0" w:after="0" w:afterAutospacing="0" w:line="300" w:lineRule="auto"/>
        <w:ind w:firstLine="480" w:firstLineChars="200"/>
        <w:jc w:val="both"/>
        <w:rPr>
          <w:rFonts w:hint="eastAsia" w:ascii="宋体" w:hAnsi="宋体" w:cs="宋体"/>
          <w:color w:val="333333"/>
          <w:shd w:val="clear" w:color="auto" w:fill="FFFFFF"/>
          <w:lang w:bidi="ar"/>
        </w:rPr>
      </w:pPr>
      <w:r>
        <w:rPr>
          <w:rFonts w:hint="eastAsia" w:ascii="宋体" w:hAnsi="宋体" w:cs="宋体"/>
          <w:color w:val="333333"/>
          <w:shd w:val="clear" w:color="auto" w:fill="FFFFFF"/>
          <w:lang w:bidi="ar"/>
        </w:rPr>
        <w:t>九、其他</w:t>
      </w:r>
    </w:p>
    <w:p w14:paraId="32B41B20">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1．坚持公开、公平、公正原则，择优录取。</w:t>
      </w:r>
    </w:p>
    <w:p w14:paraId="0EA2BB14">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bCs/>
          <w:sz w:val="24"/>
        </w:rPr>
        <w:t>本实施细则由黑龙江大学</w:t>
      </w:r>
      <w:r>
        <w:rPr>
          <w:rFonts w:hint="eastAsia" w:ascii="宋体" w:hAnsi="宋体" w:cs="宋体"/>
          <w:sz w:val="24"/>
        </w:rPr>
        <w:t>化学化工与材料</w:t>
      </w:r>
      <w:r>
        <w:rPr>
          <w:rFonts w:hint="eastAsia" w:ascii="宋体" w:hAnsi="宋体" w:cs="宋体"/>
          <w:bCs/>
          <w:sz w:val="24"/>
        </w:rPr>
        <w:t>学院负责解释。</w:t>
      </w:r>
    </w:p>
    <w:p w14:paraId="319D04E8">
      <w:pPr>
        <w:adjustRightInd w:val="0"/>
        <w:snapToGrid w:val="0"/>
        <w:spacing w:line="300" w:lineRule="auto"/>
        <w:ind w:firstLine="480" w:firstLineChars="200"/>
        <w:rPr>
          <w:rFonts w:hint="eastAsia" w:ascii="宋体" w:hAnsi="宋体" w:cs="宋体"/>
          <w:sz w:val="24"/>
        </w:rPr>
      </w:pPr>
      <w:r>
        <w:rPr>
          <w:rFonts w:hint="eastAsia" w:ascii="宋体" w:hAnsi="宋体" w:cs="宋体"/>
          <w:sz w:val="24"/>
        </w:rPr>
        <w:t>3. 本实施细则未尽事宜及与国家、黑龙江省及学校相关政策规定不一致的，执行国家、黑龙江省及学校相关政策规定。</w:t>
      </w:r>
    </w:p>
    <w:p w14:paraId="4F54DB00">
      <w:pPr>
        <w:adjustRightInd w:val="0"/>
        <w:snapToGrid w:val="0"/>
        <w:spacing w:line="300" w:lineRule="auto"/>
        <w:ind w:firstLine="480" w:firstLineChars="200"/>
        <w:rPr>
          <w:rFonts w:hint="eastAsia" w:ascii="宋体" w:hAnsi="宋体" w:cs="宋体"/>
          <w:sz w:val="24"/>
        </w:rPr>
      </w:pPr>
      <w:r>
        <w:rPr>
          <w:rFonts w:hint="eastAsia" w:ascii="宋体" w:hAnsi="宋体" w:cs="宋体"/>
          <w:bCs/>
          <w:sz w:val="24"/>
        </w:rPr>
        <w:t>4.</w:t>
      </w:r>
      <w:r>
        <w:rPr>
          <w:rFonts w:hint="eastAsia" w:ascii="宋体" w:hAnsi="宋体" w:cs="宋体"/>
          <w:sz w:val="24"/>
        </w:rPr>
        <w:t xml:space="preserve"> 化学化工与材料学院招生咨询电话：0451-86608616</w:t>
      </w:r>
    </w:p>
    <w:p w14:paraId="36DC7FA8">
      <w:pPr>
        <w:pStyle w:val="4"/>
        <w:widowControl/>
        <w:shd w:val="clear" w:color="auto" w:fill="FFFFFF"/>
        <w:spacing w:before="0" w:beforeAutospacing="0" w:after="0" w:afterAutospacing="0" w:line="300" w:lineRule="auto"/>
        <w:ind w:firstLine="480" w:firstLineChars="200"/>
        <w:jc w:val="right"/>
        <w:rPr>
          <w:rFonts w:hint="eastAsia" w:ascii="宋体" w:hAnsi="宋体" w:cs="宋体"/>
          <w:color w:val="333333"/>
          <w:shd w:val="clear" w:color="auto" w:fill="FFFFFF"/>
          <w:lang w:bidi="ar"/>
        </w:rPr>
      </w:pPr>
      <w:r>
        <w:rPr>
          <w:rFonts w:hint="eastAsia" w:ascii="宋体" w:hAnsi="宋体" w:cs="宋体"/>
          <w:color w:val="333333"/>
          <w:shd w:val="clear" w:color="auto" w:fill="FFFFFF"/>
          <w:lang w:bidi="ar"/>
        </w:rPr>
        <w:t>化学化工与材料学院</w:t>
      </w:r>
    </w:p>
    <w:p w14:paraId="0BB9EABF">
      <w:pPr>
        <w:pStyle w:val="4"/>
        <w:widowControl/>
        <w:shd w:val="clear" w:color="auto" w:fill="FFFFFF"/>
        <w:spacing w:before="0" w:beforeAutospacing="0" w:after="0" w:afterAutospacing="0" w:line="300" w:lineRule="auto"/>
        <w:ind w:firstLine="480" w:firstLineChars="200"/>
        <w:jc w:val="right"/>
        <w:rPr>
          <w:rFonts w:hint="eastAsia" w:ascii="宋体" w:hAnsi="宋体" w:cs="宋体"/>
          <w:color w:val="333333"/>
          <w:shd w:val="clear" w:color="auto" w:fill="FFFFFF"/>
          <w:lang w:bidi="ar"/>
        </w:rPr>
      </w:pPr>
    </w:p>
    <w:p w14:paraId="11D86749">
      <w:pPr>
        <w:pStyle w:val="4"/>
        <w:widowControl/>
        <w:shd w:val="clear" w:color="auto" w:fill="FFFFFF"/>
        <w:spacing w:before="0" w:beforeAutospacing="0" w:after="0" w:afterAutospacing="0" w:line="360" w:lineRule="auto"/>
        <w:ind w:firstLine="560" w:firstLineChars="200"/>
        <w:jc w:val="both"/>
        <w:rPr>
          <w:rFonts w:hint="eastAsia" w:ascii="宋体" w:hAnsi="宋体" w:cs="宋体"/>
          <w:color w:val="333333"/>
          <w:sz w:val="28"/>
          <w:szCs w:val="28"/>
          <w:highlight w:val="yellow"/>
          <w:shd w:val="clear" w:color="auto" w:fill="FFFFFF"/>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1AC9D0"/>
    <w:multiLevelType w:val="singleLevel"/>
    <w:tmpl w:val="371AC9D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47F"/>
    <w:rsid w:val="004D747F"/>
    <w:rsid w:val="005C4713"/>
    <w:rsid w:val="006048EF"/>
    <w:rsid w:val="00680EBC"/>
    <w:rsid w:val="00740E24"/>
    <w:rsid w:val="00747A57"/>
    <w:rsid w:val="008A40F8"/>
    <w:rsid w:val="00AA11D8"/>
    <w:rsid w:val="00B56AB1"/>
    <w:rsid w:val="00D341CA"/>
    <w:rsid w:val="00D627A1"/>
    <w:rsid w:val="00D9377A"/>
    <w:rsid w:val="00DB57A5"/>
    <w:rsid w:val="00E079A2"/>
    <w:rsid w:val="00FA1234"/>
    <w:rsid w:val="17641207"/>
    <w:rsid w:val="1B863DA7"/>
    <w:rsid w:val="3B6B3B00"/>
    <w:rsid w:val="415B7801"/>
    <w:rsid w:val="4B090BDC"/>
    <w:rsid w:val="66D61D9F"/>
    <w:rsid w:val="66E96DCF"/>
    <w:rsid w:val="6F36028E"/>
    <w:rsid w:val="6FC64C41"/>
    <w:rsid w:val="79BF41A9"/>
    <w:rsid w:val="7A8D53DE"/>
    <w:rsid w:val="7BA43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Normal (Web)"/>
    <w:basedOn w:val="1"/>
    <w:uiPriority w:val="0"/>
    <w:pPr>
      <w:spacing w:before="100" w:beforeAutospacing="1" w:after="100" w:afterAutospacing="1"/>
      <w:jc w:val="left"/>
    </w:pPr>
    <w:rPr>
      <w:kern w:val="0"/>
      <w:sz w:val="24"/>
    </w:rPr>
  </w:style>
  <w:style w:type="character" w:styleId="7">
    <w:name w:val="Strong"/>
    <w:basedOn w:val="6"/>
    <w:qFormat/>
    <w:uiPriority w:val="0"/>
    <w:rPr>
      <w:b/>
    </w:rPr>
  </w:style>
  <w:style w:type="character" w:customStyle="1" w:styleId="8">
    <w:name w:val="页眉 字符"/>
    <w:basedOn w:val="6"/>
    <w:link w:val="3"/>
    <w:qFormat/>
    <w:uiPriority w:val="0"/>
    <w:rPr>
      <w:rFonts w:ascii="Calibri" w:hAnsi="Calibri"/>
      <w:kern w:val="2"/>
      <w:sz w:val="18"/>
      <w:szCs w:val="18"/>
    </w:rPr>
  </w:style>
  <w:style w:type="character" w:customStyle="1" w:styleId="9">
    <w:name w:val="页脚 字符"/>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2783</Words>
  <Characters>2854</Characters>
  <Lines>61</Lines>
  <Paragraphs>65</Paragraphs>
  <TotalTime>2</TotalTime>
  <ScaleCrop>false</ScaleCrop>
  <LinksUpToDate>false</LinksUpToDate>
  <CharactersWithSpaces>2859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2026-10-11T01:23:00Z</dcterms:created>
  <dc:creator>LENOVO</dc:creator>
  <cp:lastModifiedBy>黑龙江大学研究生招生办公室</cp:lastModifiedBy>
  <cp:lastPrinted>2025-12-11T02:41:00Z</cp:lastPrinted>
  <dcterms:modified xsi:type="dcterms:W3CDTF">2026-10-12T06:21:41Z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eyJoZGlkIjoiOWM4OGNiNzJkNGRiNWQ3MjljOTNjMjI5ZmJhMmY0MTYiLCJ1c2VySWQiOiIyNjE4NjMxMDIifQ==</vt:lpwstr>
  </property>
  <property fmtid="{D5CDD505-2E9C-101B-9397-08002B2CF9AE}" pid="4" name="ICV">
    <vt:lpwstr>BE2D77CCD7FB421A93D67CD0B54FBCD0_13</vt:lpwstr>
  </property>
</Properties>
</file>