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A5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rPr>
        <w:t>西南政法大学人工智能法学院2025年博士研究生招生工作实施细则（第二批）</w:t>
      </w:r>
    </w:p>
    <w:p w14:paraId="5A6753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ascii="方正仿宋_GBK" w:hAnsi="方正仿宋_GBK" w:eastAsia="方正仿宋_GBK" w:cs="方正仿宋_GBK"/>
          <w:i w:val="0"/>
          <w:iCs w:val="0"/>
          <w:caps w:val="0"/>
          <w:color w:val="666666"/>
          <w:spacing w:val="0"/>
          <w:sz w:val="31"/>
          <w:szCs w:val="31"/>
          <w:bdr w:val="none" w:color="auto" w:sz="0" w:space="0"/>
        </w:rPr>
        <w:t>根据学校《西南政法大学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年博士研究生招生章程》（以下简称“学校招生章程”），结合人工智能法学院具体情况，特制定本年度博士研究生招生工作实施细则。</w:t>
      </w:r>
    </w:p>
    <w:p w14:paraId="077E3D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ascii="黑体" w:hAnsi="宋体" w:eastAsia="黑体" w:cs="黑体"/>
          <w:i w:val="0"/>
          <w:iCs w:val="0"/>
          <w:caps w:val="0"/>
          <w:color w:val="666666"/>
          <w:spacing w:val="0"/>
          <w:sz w:val="31"/>
          <w:szCs w:val="31"/>
          <w:bdr w:val="none" w:color="auto" w:sz="0" w:space="0"/>
        </w:rPr>
        <w:t>一、培养目标和选拔原则</w:t>
      </w:r>
    </w:p>
    <w:p w14:paraId="16BA19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5B5FB2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二、工作职责</w:t>
      </w:r>
    </w:p>
    <w:p w14:paraId="5E19D8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61C3AF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三、招生目录</w:t>
      </w:r>
    </w:p>
    <w:p w14:paraId="14B757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w:t>
      </w: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025</w:t>
      </w:r>
      <w:r>
        <w:rPr>
          <w:rFonts w:hint="default" w:ascii="方正仿宋_GBK" w:hAnsi="方正仿宋_GBK" w:eastAsia="方正仿宋_GBK" w:cs="方正仿宋_GBK"/>
          <w:i w:val="0"/>
          <w:iCs w:val="0"/>
          <w:caps w:val="0"/>
          <w:color w:val="666666"/>
          <w:spacing w:val="0"/>
          <w:sz w:val="31"/>
          <w:szCs w:val="31"/>
          <w:bdr w:val="none" w:color="auto" w:sz="0" w:space="0"/>
        </w:rPr>
        <w:t>年第二批次拟招收“申请</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考核”制全日制博士研究生</w:t>
      </w:r>
      <w:r>
        <w:rPr>
          <w:rFonts w:hint="default" w:ascii="Times New Roman" w:hAnsi="Times New Roman" w:eastAsia="方正仿宋_GBK" w:cs="Times New Roman"/>
          <w:i w:val="0"/>
          <w:iCs w:val="0"/>
          <w:caps w:val="0"/>
          <w:color w:val="666666"/>
          <w:spacing w:val="0"/>
          <w:sz w:val="31"/>
          <w:szCs w:val="31"/>
          <w:bdr w:val="none" w:color="auto" w:sz="0" w:space="0"/>
        </w:rPr>
        <w:t>7</w:t>
      </w:r>
      <w:r>
        <w:rPr>
          <w:rFonts w:hint="default" w:ascii="方正仿宋_GBK" w:hAnsi="方正仿宋_GBK" w:eastAsia="方正仿宋_GBK" w:cs="方正仿宋_GBK"/>
          <w:i w:val="0"/>
          <w:iCs w:val="0"/>
          <w:caps w:val="0"/>
          <w:color w:val="666666"/>
          <w:spacing w:val="0"/>
          <w:sz w:val="31"/>
          <w:szCs w:val="31"/>
          <w:bdr w:val="none" w:color="auto" w:sz="0" w:space="0"/>
        </w:rPr>
        <w:t>名，招生专业（方向）包括人工智能法学、科技法学。各专业指导教师及招生计划请查看学院</w:t>
      </w: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w:t>
      </w:r>
    </w:p>
    <w:p w14:paraId="2401F7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各专业招生人数仅供参考，实际招生人数将根据学校</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年下达的招生计划及各专业生源情况进行机动调整。</w:t>
      </w:r>
    </w:p>
    <w:p w14:paraId="208C74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四、申请条件和要求</w:t>
      </w:r>
    </w:p>
    <w:p w14:paraId="692437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申请人应同时符合下列条件：</w:t>
      </w:r>
    </w:p>
    <w:p w14:paraId="55D69D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（一）学校招生章程“三、报考条件”的要求。</w:t>
      </w:r>
    </w:p>
    <w:p w14:paraId="03D4F5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（二）定向就业考生及同等学力考生还须符合下列条件之一：</w:t>
      </w:r>
    </w:p>
    <w:p w14:paraId="17BF91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校定 </w:t>
      </w:r>
      <w:r>
        <w:rPr>
          <w:rFonts w:hint="default" w:ascii="Times New Roman" w:hAnsi="Times New Roman" w:eastAsia="方正仿宋_GBK" w:cs="Times New Roman"/>
          <w:i w:val="0"/>
          <w:iCs w:val="0"/>
          <w:caps w:val="0"/>
          <w:color w:val="666666"/>
          <w:spacing w:val="0"/>
          <w:sz w:val="31"/>
          <w:szCs w:val="31"/>
          <w:bdr w:val="none" w:color="auto" w:sz="0" w:space="0"/>
        </w:rPr>
        <w:t>C </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类以上与所报考学科相关的智库成果</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篇（第一作者，原件）；</w:t>
      </w:r>
    </w:p>
    <w:p w14:paraId="1DDFEC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在</w:t>
      </w:r>
      <w:r>
        <w:rPr>
          <w:rFonts w:hint="default" w:ascii="Times New Roman" w:hAnsi="Times New Roman" w:eastAsia="微软雅黑" w:cs="Times New Roman"/>
          <w:i w:val="0"/>
          <w:iCs w:val="0"/>
          <w:caps w:val="0"/>
          <w:color w:val="666666"/>
          <w:spacing w:val="0"/>
          <w:sz w:val="31"/>
          <w:szCs w:val="31"/>
          <w:bdr w:val="none" w:color="auto" w:sz="0" w:space="0"/>
        </w:rPr>
        <w:t>CSSCI</w:t>
      </w:r>
      <w:r>
        <w:rPr>
          <w:rFonts w:hint="default" w:ascii="方正仿宋_GBK" w:hAnsi="方正仿宋_GBK" w:eastAsia="方正仿宋_GBK" w:cs="方正仿宋_GBK"/>
          <w:i w:val="0"/>
          <w:iCs w:val="0"/>
          <w:caps w:val="0"/>
          <w:color w:val="666666"/>
          <w:spacing w:val="0"/>
          <w:sz w:val="31"/>
          <w:szCs w:val="31"/>
          <w:bdr w:val="none" w:color="auto" w:sz="0" w:space="0"/>
        </w:rPr>
        <w:t>来源期刊、来源集刊或校定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类以上刊物上发表与所报考学科相关的学术论文</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篇</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第一作者，刊物原件</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0B90C55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校定</w:t>
      </w:r>
      <w:r>
        <w:rPr>
          <w:rFonts w:hint="default" w:ascii="Times New Roman" w:hAnsi="Times New Roman" w:eastAsia="方正仿宋_GBK"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类以上与所报考学科相关的专著</w:t>
      </w: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本（独著）；</w:t>
      </w:r>
    </w:p>
    <w:p w14:paraId="417AF4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上述成果须为近</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年成果，成果取得时间在 </w:t>
      </w:r>
      <w:r>
        <w:rPr>
          <w:rFonts w:hint="default" w:ascii="Times New Roman" w:hAnsi="Times New Roman" w:eastAsia="微软雅黑" w:cs="Times New Roman"/>
          <w:i w:val="0"/>
          <w:iCs w:val="0"/>
          <w:caps w:val="0"/>
          <w:color w:val="666666"/>
          <w:spacing w:val="0"/>
          <w:sz w:val="31"/>
          <w:szCs w:val="31"/>
          <w:bdr w:val="none" w:color="auto" w:sz="0" w:space="0"/>
        </w:rPr>
        <w:t>2020</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微软雅黑" w:cs="Times New Roman"/>
          <w:i w:val="0"/>
          <w:iCs w:val="0"/>
          <w:caps w:val="0"/>
          <w:color w:val="666666"/>
          <w:spacing w:val="0"/>
          <w:sz w:val="31"/>
          <w:szCs w:val="31"/>
          <w:bdr w:val="none" w:color="auto" w:sz="0" w:space="0"/>
        </w:rPr>
        <w:t>23</w:t>
      </w:r>
      <w:r>
        <w:rPr>
          <w:rFonts w:hint="default" w:ascii="方正仿宋_GBK" w:hAnsi="方正仿宋_GBK" w:eastAsia="方正仿宋_GBK" w:cs="方正仿宋_GBK"/>
          <w:i w:val="0"/>
          <w:iCs w:val="0"/>
          <w:caps w:val="0"/>
          <w:color w:val="666666"/>
          <w:spacing w:val="0"/>
          <w:sz w:val="31"/>
          <w:szCs w:val="31"/>
          <w:bdr w:val="none" w:color="auto" w:sz="0" w:space="0"/>
        </w:rPr>
        <w:t>日至 </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 </w:t>
      </w:r>
      <w:r>
        <w:rPr>
          <w:rFonts w:hint="default" w:ascii="Times New Roman" w:hAnsi="Times New Roman" w:eastAsia="微软雅黑" w:cs="Times New Roman"/>
          <w:i w:val="0"/>
          <w:iCs w:val="0"/>
          <w:caps w:val="0"/>
          <w:color w:val="666666"/>
          <w:spacing w:val="0"/>
          <w:sz w:val="31"/>
          <w:szCs w:val="31"/>
          <w:bdr w:val="none" w:color="auto" w:sz="0" w:space="0"/>
        </w:rPr>
        <w:t>5 </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微软雅黑" w:cs="Times New Roman"/>
          <w:i w:val="0"/>
          <w:iCs w:val="0"/>
          <w:caps w:val="0"/>
          <w:color w:val="666666"/>
          <w:spacing w:val="0"/>
          <w:sz w:val="31"/>
          <w:szCs w:val="31"/>
          <w:bdr w:val="none" w:color="auto" w:sz="0" w:space="0"/>
        </w:rPr>
        <w:t>22</w:t>
      </w:r>
      <w:r>
        <w:rPr>
          <w:rFonts w:hint="default" w:ascii="方正仿宋_GBK" w:hAnsi="方正仿宋_GBK" w:eastAsia="方正仿宋_GBK" w:cs="方正仿宋_GBK"/>
          <w:i w:val="0"/>
          <w:iCs w:val="0"/>
          <w:caps w:val="0"/>
          <w:color w:val="666666"/>
          <w:spacing w:val="0"/>
          <w:sz w:val="31"/>
          <w:szCs w:val="31"/>
          <w:bdr w:val="none" w:color="auto" w:sz="0" w:space="0"/>
        </w:rPr>
        <w:t>日期间内。</w:t>
      </w:r>
    </w:p>
    <w:p w14:paraId="47D794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上述成果由学校根据相关文件进行认定。</w:t>
      </w:r>
    </w:p>
    <w:p w14:paraId="25BE4A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（三）外语水平条件</w:t>
      </w:r>
    </w:p>
    <w:p w14:paraId="5B7C21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符合下列情形之一，可申请外语免试（考生须按网上报名系统要求申请外语免试并提交相应材料。如未申请或申请未通过，则需参加外语水平考试）：</w:t>
      </w:r>
    </w:p>
    <w:p w14:paraId="4431A4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）英语证明：</w:t>
      </w:r>
    </w:p>
    <w:p w14:paraId="57A1265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雅思 </w:t>
      </w:r>
      <w:r>
        <w:rPr>
          <w:rFonts w:hint="default" w:ascii="Times New Roman" w:hAnsi="Times New Roman" w:eastAsia="微软雅黑" w:cs="Times New Roman"/>
          <w:i w:val="0"/>
          <w:iCs w:val="0"/>
          <w:caps w:val="0"/>
          <w:color w:val="666666"/>
          <w:spacing w:val="0"/>
          <w:sz w:val="31"/>
          <w:szCs w:val="31"/>
          <w:bdr w:val="none" w:color="auto" w:sz="0" w:space="0"/>
        </w:rPr>
        <w:t>6.5 </w:t>
      </w:r>
      <w:r>
        <w:rPr>
          <w:rFonts w:hint="default" w:ascii="方正仿宋_GBK" w:hAnsi="方正仿宋_GBK" w:eastAsia="方正仿宋_GBK" w:cs="方正仿宋_GBK"/>
          <w:i w:val="0"/>
          <w:iCs w:val="0"/>
          <w:caps w:val="0"/>
          <w:color w:val="666666"/>
          <w:spacing w:val="0"/>
          <w:sz w:val="31"/>
          <w:szCs w:val="31"/>
          <w:bdr w:val="none" w:color="auto" w:sz="0" w:space="0"/>
        </w:rPr>
        <w:t>以上；</w:t>
      </w:r>
    </w:p>
    <w:p w14:paraId="2D4C30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托福 </w:t>
      </w:r>
      <w:r>
        <w:rPr>
          <w:rFonts w:hint="default" w:ascii="Times New Roman" w:hAnsi="Times New Roman" w:eastAsia="微软雅黑" w:cs="Times New Roman"/>
          <w:i w:val="0"/>
          <w:iCs w:val="0"/>
          <w:caps w:val="0"/>
          <w:color w:val="666666"/>
          <w:spacing w:val="0"/>
          <w:sz w:val="31"/>
          <w:szCs w:val="31"/>
          <w:bdr w:val="none" w:color="auto" w:sz="0" w:space="0"/>
        </w:rPr>
        <w:t>90 </w:t>
      </w:r>
      <w:r>
        <w:rPr>
          <w:rFonts w:hint="default" w:ascii="方正仿宋_GBK" w:hAnsi="方正仿宋_GBK" w:eastAsia="方正仿宋_GBK" w:cs="方正仿宋_GBK"/>
          <w:i w:val="0"/>
          <w:iCs w:val="0"/>
          <w:caps w:val="0"/>
          <w:color w:val="666666"/>
          <w:spacing w:val="0"/>
          <w:sz w:val="31"/>
          <w:szCs w:val="31"/>
          <w:bdr w:val="none" w:color="auto" w:sz="0" w:space="0"/>
        </w:rPr>
        <w:t>分以上；</w:t>
      </w:r>
    </w:p>
    <w:p w14:paraId="4BF49A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C.</w:t>
      </w:r>
      <w:r>
        <w:rPr>
          <w:rFonts w:hint="default" w:ascii="方正仿宋_GBK" w:hAnsi="方正仿宋_GBK" w:eastAsia="方正仿宋_GBK" w:cs="方正仿宋_GBK"/>
          <w:i w:val="0"/>
          <w:iCs w:val="0"/>
          <w:caps w:val="0"/>
          <w:color w:val="666666"/>
          <w:spacing w:val="0"/>
          <w:sz w:val="31"/>
          <w:szCs w:val="31"/>
          <w:bdr w:val="none" w:color="auto" w:sz="0" w:space="0"/>
        </w:rPr>
        <w:t>国家英语专业四级以上考试合格证书；</w:t>
      </w:r>
    </w:p>
    <w:p w14:paraId="5A3BEE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D.</w:t>
      </w:r>
      <w:r>
        <w:rPr>
          <w:rFonts w:hint="default" w:ascii="方正仿宋_GBK" w:hAnsi="方正仿宋_GBK" w:eastAsia="方正仿宋_GBK" w:cs="方正仿宋_GBK"/>
          <w:i w:val="0"/>
          <w:iCs w:val="0"/>
          <w:caps w:val="0"/>
          <w:color w:val="666666"/>
          <w:spacing w:val="0"/>
          <w:sz w:val="31"/>
          <w:szCs w:val="31"/>
          <w:bdr w:val="none" w:color="auto" w:sz="0" w:space="0"/>
        </w:rPr>
        <w:t>在英语为母语（国语）的国家取得硕士及以上学位；</w:t>
      </w:r>
    </w:p>
    <w:p w14:paraId="242FC8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w:t>
      </w: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）其他语种（只包括学校规定的俄语、法语、德语、日语）参照上述标准执行。</w:t>
      </w:r>
    </w:p>
    <w:p w14:paraId="444B7D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A.</w:t>
      </w:r>
      <w:r>
        <w:rPr>
          <w:rFonts w:hint="default" w:ascii="方正仿宋_GBK" w:hAnsi="方正仿宋_GBK" w:eastAsia="方正仿宋_GBK" w:cs="方正仿宋_GBK"/>
          <w:i w:val="0"/>
          <w:iCs w:val="0"/>
          <w:caps w:val="0"/>
          <w:color w:val="666666"/>
          <w:spacing w:val="0"/>
          <w:sz w:val="31"/>
          <w:szCs w:val="31"/>
          <w:bdr w:val="none" w:color="auto" w:sz="0" w:space="0"/>
        </w:rPr>
        <w:t>学生须提供国家级语言考试（中国举办或该语言国举办）的通过证书或合格成绩单。中国举办的语言考试需达到国家六级水平。</w:t>
      </w:r>
    </w:p>
    <w:p w14:paraId="2D9774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B.</w:t>
      </w:r>
      <w:r>
        <w:rPr>
          <w:rFonts w:hint="default" w:ascii="方正仿宋_GBK" w:hAnsi="方正仿宋_GBK" w:eastAsia="方正仿宋_GBK" w:cs="方正仿宋_GBK"/>
          <w:i w:val="0"/>
          <w:iCs w:val="0"/>
          <w:caps w:val="0"/>
          <w:color w:val="666666"/>
          <w:spacing w:val="0"/>
          <w:sz w:val="31"/>
          <w:szCs w:val="31"/>
          <w:bdr w:val="none" w:color="auto" w:sz="0" w:space="0"/>
        </w:rPr>
        <w:t>在该小语种为母语（国语）的国家取得硕士及以上学位；</w:t>
      </w:r>
    </w:p>
    <w:p w14:paraId="161A70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不能提供以上有效成绩证明的考生，均须参加学院组织的博士研究生外语水平考试（成绩合格，该考试成绩仅当次有效）。</w:t>
      </w:r>
    </w:p>
    <w:p w14:paraId="153241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五、考核程序</w:t>
      </w:r>
    </w:p>
    <w:p w14:paraId="7A2DE6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（一）网上报名</w:t>
      </w:r>
    </w:p>
    <w:p w14:paraId="77631F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申请人应按照《西南政法大学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第二批》要求在</w:t>
      </w:r>
      <w:r>
        <w:rPr>
          <w:rFonts w:hint="default" w:ascii="Times New Roman" w:hAnsi="Times New Roman" w:eastAsia="方正仿宋_GBK"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微软雅黑" w:cs="Times New Roman"/>
          <w:i w:val="0"/>
          <w:iCs w:val="0"/>
          <w:caps w:val="0"/>
          <w:color w:val="666666"/>
          <w:spacing w:val="0"/>
          <w:sz w:val="31"/>
          <w:szCs w:val="31"/>
          <w:bdr w:val="none" w:color="auto" w:sz="0" w:space="0"/>
        </w:rPr>
        <w:t>13</w:t>
      </w:r>
      <w:r>
        <w:rPr>
          <w:rFonts w:hint="default" w:ascii="方正仿宋_GBK" w:hAnsi="方正仿宋_GBK" w:eastAsia="方正仿宋_GBK" w:cs="方正仿宋_GBK"/>
          <w:i w:val="0"/>
          <w:iCs w:val="0"/>
          <w:caps w:val="0"/>
          <w:color w:val="666666"/>
          <w:spacing w:val="0"/>
          <w:sz w:val="31"/>
          <w:szCs w:val="31"/>
          <w:bdr w:val="none" w:color="auto" w:sz="0" w:space="0"/>
        </w:rPr>
        <w:t>日</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w:t>
      </w:r>
      <w:r>
        <w:rPr>
          <w:rFonts w:hint="default" w:ascii="Times New Roman" w:hAnsi="Times New Roman" w:eastAsia="微软雅黑" w:cs="Times New Roman"/>
          <w:i w:val="0"/>
          <w:iCs w:val="0"/>
          <w:caps w:val="0"/>
          <w:color w:val="666666"/>
          <w:spacing w:val="0"/>
          <w:sz w:val="31"/>
          <w:szCs w:val="31"/>
          <w:bdr w:val="none" w:color="auto" w:sz="0" w:space="0"/>
        </w:rPr>
        <w:t>23</w:t>
      </w:r>
      <w:r>
        <w:rPr>
          <w:rFonts w:hint="default" w:ascii="方正仿宋_GBK" w:hAnsi="方正仿宋_GBK" w:eastAsia="方正仿宋_GBK" w:cs="方正仿宋_GBK"/>
          <w:i w:val="0"/>
          <w:iCs w:val="0"/>
          <w:caps w:val="0"/>
          <w:color w:val="666666"/>
          <w:spacing w:val="0"/>
          <w:sz w:val="31"/>
          <w:szCs w:val="31"/>
          <w:bdr w:val="none" w:color="auto" w:sz="0" w:space="0"/>
        </w:rPr>
        <w:t>日期间完成网上报名、缴费，并在网报系统中上传以下报名材料电子扫描件，以完成报名：</w:t>
      </w:r>
    </w:p>
    <w:p w14:paraId="3F7D62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ascii="等线" w:hAnsi="等线" w:eastAsia="等线" w:cs="等线"/>
          <w:i w:val="0"/>
          <w:iCs w:val="0"/>
          <w:caps w:val="0"/>
          <w:color w:val="666666"/>
          <w:spacing w:val="0"/>
          <w:sz w:val="21"/>
          <w:szCs w:val="21"/>
          <w:bdr w:val="none" w:color="auto" w:sz="0" w:space="0"/>
        </w:rPr>
        <w:t> </w:t>
      </w:r>
      <w:r>
        <w:rPr>
          <w:rFonts w:hint="default" w:ascii="方正仿宋_GBK" w:hAnsi="方正仿宋_GBK" w:eastAsia="方正仿宋_GBK" w:cs="方正仿宋_GBK"/>
          <w:i w:val="0"/>
          <w:iCs w:val="0"/>
          <w:caps w:val="0"/>
          <w:color w:val="666666"/>
          <w:spacing w:val="0"/>
          <w:sz w:val="31"/>
          <w:szCs w:val="31"/>
          <w:bdr w:val="none" w:color="auto" w:sz="0" w:space="0"/>
        </w:rPr>
        <w:t>学校招生章程“四、申请材料”中需要提交的材料；</w:t>
      </w:r>
    </w:p>
    <w:p w14:paraId="54028C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外语水平证明；</w:t>
      </w:r>
    </w:p>
    <w:p w14:paraId="52B31E3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方正仿宋_GBK" w:hAnsi="方正仿宋_GBK" w:eastAsia="方正仿宋_GBK" w:cs="方正仿宋_GBK"/>
          <w:i w:val="0"/>
          <w:iCs w:val="0"/>
          <w:caps w:val="0"/>
          <w:color w:val="666666"/>
          <w:spacing w:val="0"/>
          <w:sz w:val="31"/>
          <w:szCs w:val="31"/>
          <w:bdr w:val="none" w:color="auto" w:sz="0" w:space="0"/>
        </w:rPr>
        <w:t>《西南政法大学博士研究生报考导师填报表》（按</w:t>
      </w:r>
      <w:r>
        <w:rPr>
          <w:rFonts w:hint="default" w:ascii="Times New Roman" w:hAnsi="Times New Roman" w:eastAsia="方正仿宋_GBK"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年博士研究生网上报名须知要求填写）。</w:t>
      </w:r>
    </w:p>
    <w:p w14:paraId="5060AA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学院组织工作组对考生申请资格进行审查，审查通过的考生方可进入初审环节。</w:t>
      </w:r>
    </w:p>
    <w:p w14:paraId="263171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4.</w:t>
      </w:r>
      <w:r>
        <w:rPr>
          <w:rFonts w:hint="default" w:ascii="方正仿宋_GBK" w:hAnsi="方正仿宋_GBK" w:eastAsia="方正仿宋_GBK" w:cs="方正仿宋_GBK"/>
          <w:i w:val="0"/>
          <w:iCs w:val="0"/>
          <w:caps w:val="0"/>
          <w:color w:val="666666"/>
          <w:spacing w:val="0"/>
          <w:sz w:val="31"/>
          <w:szCs w:val="31"/>
          <w:bdr w:val="none" w:color="auto" w:sz="0" w:space="0"/>
        </w:rPr>
        <w:t>考生在第二批博士招生中只能报考一个专业（研究方向），只能选择一种招生方式，只能确认一条有效报名信息。</w:t>
      </w:r>
    </w:p>
    <w:p w14:paraId="2D87C5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（二）初审</w:t>
      </w:r>
      <w:r>
        <w:rPr>
          <w:rFonts w:hint="default" w:ascii="Times New Roman" w:hAnsi="Times New Roman" w:eastAsia="微软雅黑" w:cs="Times New Roman"/>
          <w:i w:val="0"/>
          <w:iCs w:val="0"/>
          <w:caps w:val="0"/>
          <w:color w:val="666666"/>
          <w:spacing w:val="0"/>
          <w:sz w:val="31"/>
          <w:szCs w:val="31"/>
          <w:bdr w:val="none" w:color="auto" w:sz="0" w:space="0"/>
        </w:rPr>
        <w:t> </w:t>
      </w:r>
    </w:p>
    <w:p w14:paraId="7A9A59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各学科组织导师对考生提交的材料进行审核，按专业（研究方向）招生计划的</w:t>
      </w:r>
      <w:r>
        <w:rPr>
          <w:rFonts w:hint="default" w:ascii="Times New Roman" w:hAnsi="Times New Roman" w:eastAsia="微软雅黑" w:cs="Times New Roman"/>
          <w:i w:val="0"/>
          <w:iCs w:val="0"/>
          <w:caps w:val="0"/>
          <w:color w:val="666666"/>
          <w:spacing w:val="0"/>
          <w:sz w:val="31"/>
          <w:szCs w:val="31"/>
          <w:bdr w:val="none" w:color="auto" w:sz="0" w:space="0"/>
        </w:rPr>
        <w:t>3-5</w:t>
      </w:r>
      <w:r>
        <w:rPr>
          <w:rFonts w:hint="default" w:ascii="方正仿宋_GBK" w:hAnsi="方正仿宋_GBK" w:eastAsia="方正仿宋_GBK" w:cs="方正仿宋_GBK"/>
          <w:i w:val="0"/>
          <w:iCs w:val="0"/>
          <w:caps w:val="0"/>
          <w:color w:val="666666"/>
          <w:spacing w:val="0"/>
          <w:sz w:val="31"/>
          <w:szCs w:val="31"/>
          <w:bdr w:val="none" w:color="auto" w:sz="0" w:space="0"/>
        </w:rPr>
        <w:t>倍确定进入复试的人选。</w:t>
      </w:r>
    </w:p>
    <w:p w14:paraId="41BAEB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复试名单预计于</w:t>
      </w:r>
      <w:r>
        <w:rPr>
          <w:rFonts w:hint="default" w:ascii="Times New Roman" w:hAnsi="Times New Roman" w:eastAsia="微软雅黑" w:cs="Times New Roman"/>
          <w:i w:val="0"/>
          <w:iCs w:val="0"/>
          <w:caps w:val="0"/>
          <w:color w:val="666666"/>
          <w:spacing w:val="0"/>
          <w:sz w:val="31"/>
          <w:szCs w:val="31"/>
          <w:bdr w:val="none" w:color="auto" w:sz="0" w:space="0"/>
        </w:rPr>
        <w:t> 2025</w:t>
      </w:r>
      <w:r>
        <w:rPr>
          <w:rFonts w:hint="default" w:ascii="方正仿宋_GBK" w:hAnsi="方正仿宋_GBK" w:eastAsia="方正仿宋_GBK" w:cs="方正仿宋_GBK"/>
          <w:i w:val="0"/>
          <w:iCs w:val="0"/>
          <w:caps w:val="0"/>
          <w:color w:val="666666"/>
          <w:spacing w:val="0"/>
          <w:sz w:val="31"/>
          <w:szCs w:val="31"/>
          <w:bdr w:val="none" w:color="auto" w:sz="0" w:space="0"/>
        </w:rPr>
        <w:t>年</w:t>
      </w:r>
      <w:r>
        <w:rPr>
          <w:rFonts w:hint="default" w:ascii="Times New Roman" w:hAnsi="Times New Roman" w:eastAsia="微软雅黑" w:cs="Times New Roman"/>
          <w:i w:val="0"/>
          <w:iCs w:val="0"/>
          <w:caps w:val="0"/>
          <w:color w:val="666666"/>
          <w:spacing w:val="0"/>
          <w:sz w:val="31"/>
          <w:szCs w:val="31"/>
          <w:bdr w:val="none" w:color="auto" w:sz="0" w:space="0"/>
        </w:rPr>
        <w:t>5</w:t>
      </w:r>
      <w:r>
        <w:rPr>
          <w:rFonts w:hint="default" w:ascii="方正仿宋_GBK" w:hAnsi="方正仿宋_GBK" w:eastAsia="方正仿宋_GBK" w:cs="方正仿宋_GBK"/>
          <w:i w:val="0"/>
          <w:iCs w:val="0"/>
          <w:caps w:val="0"/>
          <w:color w:val="666666"/>
          <w:spacing w:val="0"/>
          <w:sz w:val="31"/>
          <w:szCs w:val="31"/>
          <w:bdr w:val="none" w:color="auto" w:sz="0" w:space="0"/>
        </w:rPr>
        <w:t>月下旬公布，请关注后续通知。</w:t>
      </w:r>
    </w:p>
    <w:p w14:paraId="20E09F1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（三）复试</w:t>
      </w:r>
    </w:p>
    <w:p w14:paraId="3B6A3F0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复试包括专业课笔试、综合面试及攻博计划书等材料审核，各专业考试科目及内容详见学院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年博士研究生招生专业目录（附件）。复试安排预计于复试名单之后公布，请关注学院后续通知。</w:t>
      </w:r>
    </w:p>
    <w:p w14:paraId="7241FB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六、成绩计算及拟录取</w:t>
      </w:r>
    </w:p>
    <w:p w14:paraId="35C963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（一）成绩计算</w:t>
      </w:r>
    </w:p>
    <w:p w14:paraId="32FCD7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1</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综合总成绩计算公式：</w:t>
      </w:r>
    </w:p>
    <w:p w14:paraId="38F842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综合总成绩</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专业课笔试成绩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面试成绩</w:t>
      </w:r>
      <w:r>
        <w:rPr>
          <w:rFonts w:hint="default" w:ascii="Times New Roman" w:hAnsi="Times New Roman" w:eastAsia="微软雅黑" w:cs="Times New Roman"/>
          <w:i w:val="0"/>
          <w:iCs w:val="0"/>
          <w:caps w:val="0"/>
          <w:color w:val="666666"/>
          <w:spacing w:val="0"/>
          <w:sz w:val="31"/>
          <w:szCs w:val="31"/>
          <w:bdr w:val="none" w:color="auto" w:sz="0" w:space="0"/>
        </w:rPr>
        <w:t>×40/100+</w:t>
      </w:r>
      <w:r>
        <w:rPr>
          <w:rFonts w:hint="default" w:ascii="方正仿宋_GBK" w:hAnsi="方正仿宋_GBK" w:eastAsia="方正仿宋_GBK" w:cs="方正仿宋_GBK"/>
          <w:i w:val="0"/>
          <w:iCs w:val="0"/>
          <w:caps w:val="0"/>
          <w:color w:val="666666"/>
          <w:spacing w:val="0"/>
          <w:sz w:val="31"/>
          <w:szCs w:val="31"/>
          <w:bdr w:val="none" w:color="auto" w:sz="0" w:space="0"/>
        </w:rPr>
        <w:t>攻博材料审核成绩</w:t>
      </w:r>
      <w:r>
        <w:rPr>
          <w:rFonts w:hint="default" w:ascii="Times New Roman" w:hAnsi="Times New Roman" w:eastAsia="微软雅黑" w:cs="Times New Roman"/>
          <w:i w:val="0"/>
          <w:iCs w:val="0"/>
          <w:caps w:val="0"/>
          <w:color w:val="666666"/>
          <w:spacing w:val="0"/>
          <w:sz w:val="31"/>
          <w:szCs w:val="31"/>
          <w:bdr w:val="none" w:color="auto" w:sz="0" w:space="0"/>
        </w:rPr>
        <w:t>×20/100</w:t>
      </w:r>
      <w:r>
        <w:rPr>
          <w:rFonts w:hint="default" w:ascii="方正仿宋_GBK" w:hAnsi="方正仿宋_GBK" w:eastAsia="方正仿宋_GBK" w:cs="方正仿宋_GBK"/>
          <w:i w:val="0"/>
          <w:iCs w:val="0"/>
          <w:caps w:val="0"/>
          <w:color w:val="666666"/>
          <w:spacing w:val="0"/>
          <w:sz w:val="31"/>
          <w:szCs w:val="31"/>
          <w:bdr w:val="none" w:color="auto" w:sz="0" w:space="0"/>
        </w:rPr>
        <w:t>。</w:t>
      </w:r>
    </w:p>
    <w:p w14:paraId="4E41FC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2</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外语水平考试成绩另作合格要求，不计入综合总成绩。</w:t>
      </w:r>
    </w:p>
    <w:p w14:paraId="3BDA03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Times New Roman" w:hAnsi="Times New Roman" w:eastAsia="方正仿宋_GBK" w:cs="Times New Roman"/>
          <w:i w:val="0"/>
          <w:iCs w:val="0"/>
          <w:caps w:val="0"/>
          <w:color w:val="666666"/>
          <w:spacing w:val="0"/>
          <w:sz w:val="31"/>
          <w:szCs w:val="31"/>
          <w:bdr w:val="none" w:color="auto" w:sz="0" w:space="0"/>
        </w:rPr>
        <w:t>3</w:t>
      </w:r>
      <w:r>
        <w:rPr>
          <w:rFonts w:hint="default" w:ascii="Times New Roman" w:hAnsi="Times New Roman" w:eastAsia="微软雅黑"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同等学力加试成绩不计入综合总成绩。</w:t>
      </w:r>
    </w:p>
    <w:p w14:paraId="7E71C9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（二）录取原则</w:t>
      </w:r>
    </w:p>
    <w:p w14:paraId="66BD10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6D79D3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拟录取名单按照推荐进入复试的导师名下的上线考生综合总成绩，从高分到低分依序确定。具体录取规则以学校复试工作方案为准。</w:t>
      </w:r>
    </w:p>
    <w:p w14:paraId="5886DA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应届硕士毕业生考生录取当年入学前未取得国家承认的相应学历学位证书或教育部留学服务中心出具的《国（境）外学历学位认证书》者，录取资格无效。</w:t>
      </w:r>
    </w:p>
    <w:p w14:paraId="23F067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0D11FE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85" w:lineRule="atLeast"/>
        <w:ind w:left="0" w:right="0" w:firstLine="645"/>
      </w:pPr>
      <w:r>
        <w:rPr>
          <w:rFonts w:hint="eastAsia" w:ascii="黑体" w:hAnsi="宋体" w:eastAsia="黑体" w:cs="黑体"/>
          <w:i w:val="0"/>
          <w:iCs w:val="0"/>
          <w:caps w:val="0"/>
          <w:color w:val="666666"/>
          <w:spacing w:val="0"/>
          <w:sz w:val="31"/>
          <w:szCs w:val="31"/>
          <w:bdr w:val="none" w:color="auto" w:sz="0" w:space="0"/>
        </w:rPr>
        <w:t>七、信息公开公示</w:t>
      </w:r>
    </w:p>
    <w:p w14:paraId="5120A6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复试结束后，将在学院网站（</w:t>
      </w:r>
      <w:r>
        <w:rPr>
          <w:rFonts w:hint="default" w:ascii="Times New Roman" w:hAnsi="Times New Roman" w:eastAsia="微软雅黑" w:cs="Times New Roman"/>
          <w:i w:val="0"/>
          <w:iCs w:val="0"/>
          <w:caps w:val="0"/>
          <w:color w:val="666666"/>
          <w:spacing w:val="0"/>
          <w:sz w:val="31"/>
          <w:szCs w:val="31"/>
          <w:bdr w:val="none" w:color="auto" w:sz="0" w:space="0"/>
        </w:rPr>
        <w:t>https://alc.swupl.edu.cn/</w:t>
      </w:r>
      <w:r>
        <w:rPr>
          <w:rFonts w:hint="default" w:ascii="方正仿宋_GBK" w:hAnsi="方正仿宋_GBK" w:eastAsia="方正仿宋_GBK" w:cs="方正仿宋_GBK"/>
          <w:i w:val="0"/>
          <w:iCs w:val="0"/>
          <w:caps w:val="0"/>
          <w:color w:val="666666"/>
          <w:spacing w:val="0"/>
          <w:sz w:val="31"/>
          <w:szCs w:val="31"/>
          <w:bdr w:val="none" w:color="auto" w:sz="0" w:space="0"/>
        </w:rPr>
        <w:t>）公布考生最终成绩。成绩公示期间接受考生咨询和申诉：</w:t>
      </w:r>
    </w:p>
    <w:p w14:paraId="726FDF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咨询电话：</w:t>
      </w:r>
      <w:r>
        <w:rPr>
          <w:rFonts w:hint="default" w:ascii="Times New Roman" w:hAnsi="Times New Roman" w:eastAsia="方正仿宋_GBK" w:cs="Times New Roman"/>
          <w:i w:val="0"/>
          <w:iCs w:val="0"/>
          <w:caps w:val="0"/>
          <w:color w:val="666666"/>
          <w:spacing w:val="0"/>
          <w:sz w:val="31"/>
          <w:szCs w:val="31"/>
          <w:bdr w:val="none" w:color="auto" w:sz="0" w:space="0"/>
        </w:rPr>
        <w:t>023-67258677</w:t>
      </w:r>
      <w:r>
        <w:rPr>
          <w:rFonts w:hint="default" w:ascii="方正仿宋_GBK" w:hAnsi="方正仿宋_GBK" w:eastAsia="方正仿宋_GBK" w:cs="方正仿宋_GBK"/>
          <w:i w:val="0"/>
          <w:iCs w:val="0"/>
          <w:caps w:val="0"/>
          <w:color w:val="666666"/>
          <w:spacing w:val="0"/>
          <w:sz w:val="31"/>
          <w:szCs w:val="31"/>
          <w:bdr w:val="none" w:color="auto" w:sz="0" w:space="0"/>
        </w:rPr>
        <w:t> </w:t>
      </w:r>
      <w:r>
        <w:rPr>
          <w:rFonts w:hint="default" w:ascii="Times New Roman" w:hAnsi="Times New Roman" w:eastAsia="方正仿宋_GBK" w:cs="Times New Roman"/>
          <w:i w:val="0"/>
          <w:iCs w:val="0"/>
          <w:caps w:val="0"/>
          <w:color w:val="666666"/>
          <w:spacing w:val="0"/>
          <w:sz w:val="31"/>
          <w:szCs w:val="31"/>
          <w:bdr w:val="none" w:color="auto" w:sz="0" w:space="0"/>
        </w:rPr>
        <w:t>     </w:t>
      </w:r>
      <w:r>
        <w:rPr>
          <w:rFonts w:hint="default" w:ascii="方正仿宋_GBK" w:hAnsi="方正仿宋_GBK" w:eastAsia="方正仿宋_GBK" w:cs="方正仿宋_GBK"/>
          <w:i w:val="0"/>
          <w:iCs w:val="0"/>
          <w:caps w:val="0"/>
          <w:color w:val="666666"/>
          <w:spacing w:val="0"/>
          <w:sz w:val="31"/>
          <w:szCs w:val="31"/>
          <w:bdr w:val="none" w:color="auto" w:sz="0" w:space="0"/>
        </w:rPr>
        <w:t>监督电话：</w:t>
      </w:r>
      <w:r>
        <w:rPr>
          <w:rFonts w:hint="default" w:ascii="Times New Roman" w:hAnsi="Times New Roman" w:eastAsia="方正仿宋_GBK" w:cs="Times New Roman"/>
          <w:i w:val="0"/>
          <w:iCs w:val="0"/>
          <w:caps w:val="0"/>
          <w:color w:val="666666"/>
          <w:spacing w:val="0"/>
          <w:sz w:val="31"/>
          <w:szCs w:val="31"/>
          <w:bdr w:val="none" w:color="auto" w:sz="0" w:space="0"/>
        </w:rPr>
        <w:t>023-67258086</w:t>
      </w:r>
    </w:p>
    <w:p w14:paraId="40711B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邮箱： </w:t>
      </w:r>
      <w:r>
        <w:rPr>
          <w:rFonts w:hint="default" w:ascii="Times New Roman" w:hAnsi="Times New Roman" w:eastAsia="微软雅黑" w:cs="Times New Roman"/>
          <w:i w:val="0"/>
          <w:iCs w:val="0"/>
          <w:caps w:val="0"/>
          <w:color w:val="666666"/>
          <w:spacing w:val="0"/>
          <w:sz w:val="31"/>
          <w:szCs w:val="31"/>
          <w:bdr w:val="none" w:color="auto" w:sz="0" w:space="0"/>
        </w:rPr>
        <w:t>rgznfyzs@swupl.edu.cn</w:t>
      </w:r>
    </w:p>
    <w:p w14:paraId="5849607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方正仿宋_GBK" w:hAnsi="方正仿宋_GBK" w:eastAsia="方正仿宋_GBK" w:cs="方正仿宋_GBK"/>
          <w:i w:val="0"/>
          <w:iCs w:val="0"/>
          <w:caps w:val="0"/>
          <w:color w:val="666666"/>
          <w:spacing w:val="0"/>
          <w:sz w:val="31"/>
          <w:szCs w:val="31"/>
          <w:bdr w:val="none" w:color="auto" w:sz="0" w:space="0"/>
        </w:rPr>
        <w:t>监督邮箱：</w:t>
      </w:r>
      <w:r>
        <w:rPr>
          <w:rFonts w:hint="default" w:ascii="Times New Roman" w:hAnsi="Times New Roman" w:eastAsia="微软雅黑" w:cs="Times New Roman"/>
          <w:i w:val="0"/>
          <w:iCs w:val="0"/>
          <w:caps w:val="0"/>
          <w:color w:val="666666"/>
          <w:spacing w:val="0"/>
          <w:sz w:val="31"/>
          <w:szCs w:val="31"/>
          <w:bdr w:val="none" w:color="auto" w:sz="0" w:space="0"/>
        </w:rPr>
        <w:t>rgznfjd@swupl.edu.cn</w:t>
      </w:r>
    </w:p>
    <w:p w14:paraId="7D189F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eastAsia" w:ascii="黑体" w:hAnsi="宋体" w:eastAsia="黑体" w:cs="黑体"/>
          <w:i w:val="0"/>
          <w:iCs w:val="0"/>
          <w:caps w:val="0"/>
          <w:color w:val="666666"/>
          <w:spacing w:val="0"/>
          <w:sz w:val="31"/>
          <w:szCs w:val="31"/>
          <w:bdr w:val="none" w:color="auto" w:sz="0" w:space="0"/>
        </w:rPr>
        <w:t>八、其他事项</w:t>
      </w:r>
    </w:p>
    <w:p w14:paraId="017C3D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1.</w:t>
      </w:r>
      <w:r>
        <w:rPr>
          <w:rFonts w:hint="default" w:ascii="方正仿宋_GBK" w:hAnsi="方正仿宋_GBK" w:eastAsia="方正仿宋_GBK" w:cs="方正仿宋_GBK"/>
          <w:i w:val="0"/>
          <w:iCs w:val="0"/>
          <w:caps w:val="0"/>
          <w:color w:val="666666"/>
          <w:spacing w:val="0"/>
          <w:sz w:val="31"/>
          <w:szCs w:val="31"/>
          <w:bdr w:val="none" w:color="auto" w:sz="0" w:space="0"/>
        </w:rPr>
        <w:t>拟录取考生应根据教育部相关文件的体检要求，自行到二级甲等以上（含二级甲等）医院进行体格检查，体检费用自理。体检报告提交时间另行通知。</w:t>
      </w:r>
    </w:p>
    <w:p w14:paraId="6A6CFC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555" w:lineRule="atLeast"/>
        <w:ind w:left="0" w:right="0" w:firstLine="645"/>
      </w:pPr>
      <w:r>
        <w:rPr>
          <w:rFonts w:hint="default" w:ascii="Times New Roman" w:hAnsi="Times New Roman" w:eastAsia="微软雅黑" w:cs="Times New Roman"/>
          <w:i w:val="0"/>
          <w:iCs w:val="0"/>
          <w:caps w:val="0"/>
          <w:color w:val="666666"/>
          <w:spacing w:val="0"/>
          <w:sz w:val="31"/>
          <w:szCs w:val="31"/>
          <w:bdr w:val="none" w:color="auto" w:sz="0" w:space="0"/>
        </w:rPr>
        <w:t>2.</w:t>
      </w:r>
      <w:r>
        <w:rPr>
          <w:rFonts w:hint="default" w:ascii="方正仿宋_GBK" w:hAnsi="方正仿宋_GBK" w:eastAsia="方正仿宋_GBK" w:cs="方正仿宋_GBK"/>
          <w:i w:val="0"/>
          <w:iCs w:val="0"/>
          <w:caps w:val="0"/>
          <w:color w:val="666666"/>
          <w:spacing w:val="0"/>
          <w:sz w:val="31"/>
          <w:szCs w:val="31"/>
          <w:bdr w:val="none" w:color="auto" w:sz="0" w:space="0"/>
        </w:rPr>
        <w:t>考生应当认真了解并严格按照《西南政法大学</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年博士研究生招生章程》《西南政法大学人工智能法学院</w:t>
      </w:r>
      <w:r>
        <w:rPr>
          <w:rFonts w:hint="default" w:ascii="Times New Roman" w:hAnsi="Times New Roman" w:eastAsia="微软雅黑" w:cs="Times New Roman"/>
          <w:i w:val="0"/>
          <w:iCs w:val="0"/>
          <w:caps w:val="0"/>
          <w:color w:val="666666"/>
          <w:spacing w:val="0"/>
          <w:sz w:val="31"/>
          <w:szCs w:val="31"/>
          <w:bdr w:val="none" w:color="auto" w:sz="0" w:space="0"/>
        </w:rPr>
        <w:t>2025</w:t>
      </w:r>
      <w:r>
        <w:rPr>
          <w:rFonts w:hint="default" w:ascii="方正仿宋_GBK" w:hAnsi="方正仿宋_GBK" w:eastAsia="方正仿宋_GBK" w:cs="方正仿宋_GBK"/>
          <w:i w:val="0"/>
          <w:iCs w:val="0"/>
          <w:caps w:val="0"/>
          <w:color w:val="666666"/>
          <w:spacing w:val="0"/>
          <w:sz w:val="31"/>
          <w:szCs w:val="31"/>
          <w:bdr w:val="none" w:color="auto" w:sz="0" w:space="0"/>
        </w:rPr>
        <w:t>年博士研究生招生工作实施细则</w:t>
      </w:r>
      <w:r>
        <w:rPr>
          <w:rFonts w:hint="default" w:ascii="Times New Roman" w:hAnsi="Times New Roman" w:eastAsia="方正仿宋_GBK" w:cs="Times New Roman"/>
          <w:i w:val="0"/>
          <w:iCs w:val="0"/>
          <w:caps w:val="0"/>
          <w:color w:val="666666"/>
          <w:spacing w:val="0"/>
          <w:sz w:val="31"/>
          <w:szCs w:val="31"/>
          <w:bdr w:val="none" w:color="auto" w:sz="0" w:space="0"/>
        </w:rPr>
        <w:t>-</w:t>
      </w:r>
      <w:r>
        <w:rPr>
          <w:rFonts w:hint="default" w:ascii="方正仿宋_GBK" w:hAnsi="方正仿宋_GBK" w:eastAsia="方正仿宋_GBK" w:cs="方正仿宋_GBK"/>
          <w:i w:val="0"/>
          <w:iCs w:val="0"/>
          <w:caps w:val="0"/>
          <w:color w:val="666666"/>
          <w:spacing w:val="0"/>
          <w:sz w:val="31"/>
          <w:szCs w:val="31"/>
          <w:bdr w:val="none" w:color="auto" w:sz="0" w:space="0"/>
        </w:rPr>
        <w:t>第二批》所规定报考条件及相关政策要求进行报考。因不符合报考条件及相关政策要求，造成后续不能考试（含初审和复试）或录取的，后果由考生本人承担。</w:t>
      </w:r>
    </w:p>
    <w:p w14:paraId="0FADF6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210" w:afterAutospacing="0" w:line="24" w:lineRule="atLeast"/>
        <w:ind w:left="0" w:right="0"/>
      </w:pPr>
    </w:p>
    <w:p w14:paraId="22C71A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color w:val="333333"/>
          <w:sz w:val="24"/>
          <w:szCs w:val="24"/>
        </w:rPr>
      </w:pPr>
      <w:r>
        <w:rPr>
          <w:b/>
          <w:bCs/>
          <w:i w:val="0"/>
          <w:iCs w:val="0"/>
          <w:caps w:val="0"/>
          <w:color w:val="333333"/>
          <w:spacing w:val="0"/>
          <w:sz w:val="24"/>
          <w:szCs w:val="24"/>
          <w:bdr w:val="none" w:color="auto" w:sz="0" w:space="0"/>
        </w:rPr>
        <w:t>附件:</w:t>
      </w:r>
    </w:p>
    <w:p w14:paraId="4CB41C7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826" w:right="0" w:hanging="360"/>
      </w:pPr>
      <w:r>
        <w:rPr>
          <w:rFonts w:hint="eastAsia" w:ascii="微软雅黑" w:hAnsi="微软雅黑" w:eastAsia="微软雅黑" w:cs="微软雅黑"/>
          <w:i w:val="0"/>
          <w:iCs w:val="0"/>
          <w:caps w:val="0"/>
          <w:color w:val="666666"/>
          <w:spacing w:val="0"/>
          <w:sz w:val="22"/>
          <w:szCs w:val="22"/>
          <w:u w:val="none"/>
          <w:bdr w:val="none" w:color="auto" w:sz="0" w:space="0"/>
        </w:rPr>
        <w:fldChar w:fldCharType="begin"/>
      </w:r>
      <w:r>
        <w:rPr>
          <w:rFonts w:hint="eastAsia" w:ascii="微软雅黑" w:hAnsi="微软雅黑" w:eastAsia="微软雅黑" w:cs="微软雅黑"/>
          <w:i w:val="0"/>
          <w:iCs w:val="0"/>
          <w:caps w:val="0"/>
          <w:color w:val="666666"/>
          <w:spacing w:val="0"/>
          <w:sz w:val="22"/>
          <w:szCs w:val="22"/>
          <w:u w:val="none"/>
          <w:bdr w:val="none" w:color="auto" w:sz="0" w:space="0"/>
        </w:rPr>
        <w:instrText xml:space="preserve"> HYPERLINK "https://alc.swupl.edu.cn/docs//2025-05/1e53ffbee98a421e8682b30892d67c74.docx" \t "https://alc.swupl.edu.cn/tzgg/" </w:instrText>
      </w:r>
      <w:r>
        <w:rPr>
          <w:rFonts w:hint="eastAsia" w:ascii="微软雅黑" w:hAnsi="微软雅黑" w:eastAsia="微软雅黑" w:cs="微软雅黑"/>
          <w:i w:val="0"/>
          <w:iCs w:val="0"/>
          <w:caps w:val="0"/>
          <w:color w:val="666666"/>
          <w:spacing w:val="0"/>
          <w:sz w:val="22"/>
          <w:szCs w:val="22"/>
          <w:u w:val="none"/>
          <w:bdr w:val="none" w:color="auto" w:sz="0" w:space="0"/>
        </w:rPr>
        <w:fldChar w:fldCharType="separate"/>
      </w:r>
      <w:r>
        <w:rPr>
          <w:rStyle w:val="10"/>
          <w:rFonts w:hint="eastAsia" w:ascii="微软雅黑" w:hAnsi="微软雅黑" w:eastAsia="微软雅黑" w:cs="微软雅黑"/>
          <w:i w:val="0"/>
          <w:iCs w:val="0"/>
          <w:caps w:val="0"/>
          <w:color w:val="666666"/>
          <w:spacing w:val="0"/>
          <w:sz w:val="22"/>
          <w:szCs w:val="22"/>
          <w:u w:val="none"/>
          <w:bdr w:val="none" w:color="auto" w:sz="0" w:space="0"/>
        </w:rPr>
        <w:t>06人工智能法学院-专业目录.docx</w:t>
      </w:r>
      <w:r>
        <w:rPr>
          <w:rFonts w:hint="eastAsia" w:ascii="微软雅黑" w:hAnsi="微软雅黑" w:eastAsia="微软雅黑" w:cs="微软雅黑"/>
          <w:i w:val="0"/>
          <w:iCs w:val="0"/>
          <w:caps w:val="0"/>
          <w:color w:val="666666"/>
          <w:spacing w:val="0"/>
          <w:sz w:val="22"/>
          <w:szCs w:val="22"/>
          <w:u w:val="none"/>
          <w:bdr w:val="none" w:color="auto" w:sz="0" w:space="0"/>
        </w:rPr>
        <w:fldChar w:fldCharType="end"/>
      </w: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3650C"/>
    <w:multiLevelType w:val="multilevel"/>
    <w:tmpl w:val="A573650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2B3269EC"/>
    <w:rsid w:val="358E17EA"/>
    <w:rsid w:val="50B15470"/>
    <w:rsid w:val="53373F15"/>
    <w:rsid w:val="67D47C93"/>
    <w:rsid w:val="68A128B9"/>
    <w:rsid w:val="712E093E"/>
    <w:rsid w:val="72B1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AE23376BDEF54D5EB276493CD8FAC8B1_13</vt:lpwstr>
  </property>
  <property fmtid="{D5CDD505-2E9C-101B-9397-08002B2CF9AE}" pid="4" name="KSOTemplateDocerSaveRecord">
    <vt:lpwstr>eyJoZGlkIjoiYTFmNmVhOTkxNjMwODU5NTJlYjI4NDc1ZWVjNjRhZWUiLCJ1c2VySWQiOiIxNDE1NTEzMzA2In0=</vt:lpwstr>
  </property>
</Properties>
</file>