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169E9">
      <w:pPr>
        <w:keepNext w:val="0"/>
        <w:keepLines w:val="0"/>
        <w:pageBreakBefore w:val="0"/>
        <w:kinsoku/>
        <w:wordWrap/>
        <w:overflowPunct/>
        <w:topLinePunct w:val="0"/>
        <w:autoSpaceDE/>
        <w:autoSpaceDN/>
        <w:bidi w:val="0"/>
        <w:adjustRightInd/>
        <w:snapToGrid w:val="0"/>
        <w:spacing w:line="360" w:lineRule="auto"/>
        <w:ind w:firstLine="602" w:firstLineChars="200"/>
        <w:jc w:val="center"/>
        <w:textAlignment w:val="auto"/>
        <w:rPr>
          <w:rFonts w:hint="eastAsia" w:ascii="宋体" w:hAnsi="宋体" w:eastAsia="宋体" w:cs="宋体"/>
          <w:color w:val="auto"/>
          <w:szCs w:val="21"/>
          <w:lang w:val="en-US" w:eastAsia="zh-CN"/>
        </w:rPr>
      </w:pPr>
      <w:r>
        <w:rPr>
          <w:rFonts w:hint="eastAsia" w:ascii="宋体" w:hAnsi="宋体" w:eastAsia="宋体" w:cs="宋体"/>
          <w:b/>
          <w:bCs/>
          <w:color w:val="auto"/>
          <w:sz w:val="30"/>
          <w:szCs w:val="30"/>
        </w:rPr>
        <w:t>附件</w:t>
      </w:r>
      <w:r>
        <w:rPr>
          <w:rFonts w:hint="eastAsia" w:ascii="宋体" w:hAnsi="宋体" w:eastAsia="宋体" w:cs="宋体"/>
          <w:b/>
          <w:bCs/>
          <w:color w:val="auto"/>
          <w:sz w:val="30"/>
          <w:szCs w:val="30"/>
          <w:lang w:val="en-US" w:eastAsia="zh-CN"/>
        </w:rPr>
        <w:t>9</w:t>
      </w:r>
      <w:r>
        <w:rPr>
          <w:rFonts w:hint="eastAsia" w:ascii="宋体" w:hAnsi="宋体" w:eastAsia="宋体" w:cs="宋体"/>
          <w:b/>
          <w:bCs/>
          <w:color w:val="auto"/>
          <w:sz w:val="30"/>
          <w:szCs w:val="30"/>
        </w:rPr>
        <w:t>：</w:t>
      </w:r>
      <w:r>
        <w:rPr>
          <w:rFonts w:hint="eastAsia" w:ascii="宋体" w:hAnsi="宋体" w:eastAsia="宋体" w:cs="宋体"/>
          <w:b/>
          <w:bCs/>
          <w:color w:val="auto"/>
          <w:sz w:val="30"/>
          <w:szCs w:val="30"/>
          <w:lang w:val="en-US" w:eastAsia="zh-CN"/>
        </w:rPr>
        <w:t>广州实验室联培专项简介</w:t>
      </w:r>
      <w:bookmarkStart w:id="2" w:name="_GoBack"/>
      <w:bookmarkEnd w:id="2"/>
    </w:p>
    <w:p w14:paraId="1BE738EA">
      <w:pPr>
        <w:keepNext w:val="0"/>
        <w:keepLines w:val="0"/>
        <w:pageBreakBefore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b/>
          <w:bCs/>
          <w:color w:val="auto"/>
          <w:sz w:val="24"/>
          <w:szCs w:val="24"/>
          <w:lang w:val="en-US"/>
        </w:rPr>
      </w:pPr>
      <w:r>
        <w:rPr>
          <w:rFonts w:hint="eastAsia" w:ascii="宋体" w:hAnsi="宋体" w:eastAsia="宋体" w:cs="宋体"/>
          <w:b/>
          <w:bCs/>
          <w:i w:val="0"/>
          <w:iCs w:val="0"/>
          <w:caps w:val="0"/>
          <w:color w:val="auto"/>
          <w:spacing w:val="0"/>
          <w:kern w:val="2"/>
          <w:sz w:val="24"/>
          <w:szCs w:val="24"/>
          <w:lang w:val="en-US" w:eastAsia="zh-CN" w:bidi="ar"/>
        </w:rPr>
        <w:t>一、国家实验室联培专项</w:t>
      </w:r>
      <w:r>
        <w:rPr>
          <w:rFonts w:hint="eastAsia" w:ascii="宋体" w:hAnsi="宋体" w:eastAsia="宋体" w:cs="宋体"/>
          <w:b/>
          <w:bCs/>
          <w:color w:val="auto"/>
          <w:kern w:val="2"/>
          <w:sz w:val="24"/>
          <w:szCs w:val="24"/>
          <w:lang w:val="en-US" w:eastAsia="zh-CN" w:bidi="ar"/>
        </w:rPr>
        <w:t>简介</w:t>
      </w:r>
    </w:p>
    <w:p w14:paraId="0FDAE1F1">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 w:val="0"/>
          <w:bCs w:val="0"/>
          <w:kern w:val="2"/>
          <w:sz w:val="21"/>
          <w:szCs w:val="21"/>
          <w:lang w:val="en-US" w:eastAsia="zh-CN" w:bidi="ar"/>
        </w:rPr>
      </w:pPr>
      <w:r>
        <w:rPr>
          <w:rFonts w:hint="eastAsia" w:ascii="宋体" w:hAnsi="宋体" w:eastAsia="宋体" w:cs="宋体"/>
          <w:i w:val="0"/>
          <w:iCs w:val="0"/>
          <w:caps w:val="0"/>
          <w:spacing w:val="0"/>
          <w:kern w:val="2"/>
          <w:sz w:val="21"/>
          <w:szCs w:val="21"/>
          <w:highlight w:val="none"/>
          <w:lang w:val="en-US" w:eastAsia="zh-CN" w:bidi="ar"/>
        </w:rPr>
        <w:t>为主动服务国家重大战略需求，培养和储备战略科技人才，探索以重大任务为导向的博士研究生培养新机制，我校与广州实验室</w:t>
      </w:r>
      <w:r>
        <w:rPr>
          <w:rFonts w:hint="eastAsia" w:ascii="宋体" w:hAnsi="宋体" w:eastAsia="宋体" w:cs="宋体"/>
          <w:i w:val="0"/>
          <w:iCs w:val="0"/>
          <w:caps w:val="0"/>
          <w:spacing w:val="0"/>
          <w:kern w:val="2"/>
          <w:sz w:val="21"/>
          <w:szCs w:val="21"/>
          <w:lang w:val="en-US" w:eastAsia="zh-CN" w:bidi="ar"/>
        </w:rPr>
        <w:t>开展</w:t>
      </w:r>
      <w:r>
        <w:rPr>
          <w:rFonts w:hint="eastAsia" w:ascii="宋体" w:hAnsi="宋体" w:eastAsia="宋体" w:cs="宋体"/>
          <w:i w:val="0"/>
          <w:iCs w:val="0"/>
          <w:caps w:val="0"/>
          <w:spacing w:val="0"/>
          <w:kern w:val="2"/>
          <w:sz w:val="21"/>
          <w:szCs w:val="21"/>
          <w:highlight w:val="none"/>
          <w:lang w:val="en-US" w:eastAsia="zh-CN" w:bidi="ar"/>
        </w:rPr>
        <w:t>博士研究生</w:t>
      </w:r>
      <w:r>
        <w:rPr>
          <w:rFonts w:hint="eastAsia" w:ascii="宋体" w:hAnsi="宋体" w:eastAsia="宋体" w:cs="宋体"/>
          <w:i w:val="0"/>
          <w:iCs w:val="0"/>
          <w:caps w:val="0"/>
          <w:spacing w:val="0"/>
          <w:kern w:val="2"/>
          <w:sz w:val="21"/>
          <w:szCs w:val="21"/>
          <w:lang w:val="en-US" w:eastAsia="zh-CN" w:bidi="ar"/>
        </w:rPr>
        <w:t>联合培养</w:t>
      </w:r>
      <w:r>
        <w:rPr>
          <w:rFonts w:hint="eastAsia" w:ascii="宋体" w:hAnsi="宋体" w:eastAsia="宋体" w:cs="宋体"/>
          <w:i w:val="0"/>
          <w:iCs w:val="0"/>
          <w:caps w:val="0"/>
          <w:spacing w:val="0"/>
          <w:kern w:val="2"/>
          <w:sz w:val="21"/>
          <w:szCs w:val="21"/>
          <w:highlight w:val="none"/>
          <w:lang w:val="en-US" w:eastAsia="zh-CN" w:bidi="ar"/>
        </w:rPr>
        <w:t>（下文简称国家实验室联培专项）。根据教育部</w:t>
      </w:r>
      <w:r>
        <w:rPr>
          <w:rFonts w:hint="eastAsia" w:ascii="宋体" w:hAnsi="宋体" w:eastAsia="宋体" w:cs="宋体"/>
          <w:i w:val="0"/>
          <w:iCs w:val="0"/>
          <w:caps w:val="0"/>
          <w:spacing w:val="0"/>
          <w:kern w:val="2"/>
          <w:sz w:val="21"/>
          <w:szCs w:val="21"/>
          <w:lang w:val="en-US" w:eastAsia="zh-CN" w:bidi="ar"/>
        </w:rPr>
        <w:t>国家实验室联培专项相关要求和</w:t>
      </w:r>
      <w:r>
        <w:rPr>
          <w:rFonts w:hint="eastAsia" w:ascii="宋体" w:hAnsi="宋体" w:eastAsia="宋体" w:cs="宋体"/>
          <w:b w:val="0"/>
          <w:bCs w:val="0"/>
          <w:kern w:val="2"/>
          <w:sz w:val="21"/>
          <w:szCs w:val="21"/>
          <w:lang w:val="en-US" w:eastAsia="zh-CN" w:bidi="ar"/>
        </w:rPr>
        <w:t>《南华大学关于国家实验室与高等学校联合培养博士研究生专项实施办法（试行）》（</w:t>
      </w:r>
      <w:r>
        <w:rPr>
          <w:rFonts w:hint="eastAsia" w:ascii="宋体" w:hAnsi="宋体" w:eastAsia="宋体" w:cs="宋体"/>
          <w:spacing w:val="0"/>
          <w:sz w:val="21"/>
          <w:szCs w:val="21"/>
          <w:lang w:bidi="ar"/>
        </w:rPr>
        <w:t>南华政发〔</w:t>
      </w:r>
      <w:r>
        <w:rPr>
          <w:rFonts w:hint="eastAsia" w:ascii="宋体" w:hAnsi="宋体" w:eastAsia="宋体" w:cs="宋体"/>
          <w:spacing w:val="0"/>
          <w:sz w:val="21"/>
          <w:szCs w:val="21"/>
          <w:lang w:val="en-US" w:eastAsia="zh-CN" w:bidi="ar"/>
        </w:rPr>
        <w:t>2025</w:t>
      </w:r>
      <w:r>
        <w:rPr>
          <w:rFonts w:hint="eastAsia" w:ascii="宋体" w:hAnsi="宋体" w:eastAsia="宋体" w:cs="宋体"/>
          <w:spacing w:val="0"/>
          <w:sz w:val="21"/>
          <w:szCs w:val="21"/>
          <w:lang w:bidi="ar"/>
        </w:rPr>
        <w:t>〕</w:t>
      </w:r>
      <w:r>
        <w:rPr>
          <w:rFonts w:hint="eastAsia" w:ascii="宋体" w:hAnsi="宋体" w:eastAsia="宋体" w:cs="宋体"/>
          <w:spacing w:val="0"/>
          <w:sz w:val="21"/>
          <w:szCs w:val="21"/>
          <w:lang w:val="en-US" w:eastAsia="zh-CN" w:bidi="ar"/>
        </w:rPr>
        <w:t>18</w:t>
      </w:r>
      <w:r>
        <w:rPr>
          <w:rFonts w:hint="eastAsia" w:ascii="宋体" w:hAnsi="宋体" w:eastAsia="宋体" w:cs="宋体"/>
          <w:spacing w:val="0"/>
          <w:sz w:val="21"/>
          <w:szCs w:val="21"/>
          <w:lang w:bidi="ar"/>
        </w:rPr>
        <w:t>号</w:t>
      </w:r>
      <w:r>
        <w:rPr>
          <w:rFonts w:hint="eastAsia" w:ascii="宋体" w:hAnsi="宋体" w:eastAsia="宋体" w:cs="宋体"/>
          <w:spacing w:val="0"/>
          <w:sz w:val="21"/>
          <w:szCs w:val="21"/>
          <w:lang w:eastAsia="zh-CN" w:bidi="ar"/>
        </w:rPr>
        <w:t>）</w:t>
      </w:r>
      <w:r>
        <w:rPr>
          <w:rFonts w:hint="eastAsia" w:ascii="宋体" w:hAnsi="宋体" w:eastAsia="宋体" w:cs="宋体"/>
          <w:i w:val="0"/>
          <w:iCs w:val="0"/>
          <w:caps w:val="0"/>
          <w:spacing w:val="0"/>
          <w:kern w:val="2"/>
          <w:sz w:val="21"/>
          <w:szCs w:val="21"/>
          <w:lang w:val="en-US" w:eastAsia="zh-CN" w:bidi="ar"/>
        </w:rPr>
        <w:t>，</w:t>
      </w:r>
      <w:r>
        <w:rPr>
          <w:rFonts w:hint="eastAsia" w:ascii="宋体" w:hAnsi="宋体" w:eastAsia="宋体" w:cs="宋体"/>
          <w:i w:val="0"/>
          <w:iCs w:val="0"/>
          <w:caps w:val="0"/>
          <w:spacing w:val="0"/>
          <w:kern w:val="2"/>
          <w:sz w:val="21"/>
          <w:szCs w:val="21"/>
          <w:highlight w:val="none"/>
          <w:lang w:val="en-US" w:eastAsia="zh-CN" w:bidi="ar"/>
        </w:rPr>
        <w:t>南华大学作为联培博士研究生的依托单位，主要负责招生、学籍管理、培养和学位等工作，具体博士的培养、学位答辩等相关事宜由南华大学与</w:t>
      </w:r>
      <w:r>
        <w:rPr>
          <w:rFonts w:hint="eastAsia" w:ascii="宋体" w:hAnsi="宋体" w:eastAsia="宋体" w:cs="宋体"/>
          <w:i w:val="0"/>
          <w:iCs w:val="0"/>
          <w:caps w:val="0"/>
          <w:spacing w:val="0"/>
          <w:kern w:val="2"/>
          <w:sz w:val="21"/>
          <w:szCs w:val="21"/>
          <w:lang w:val="en-US" w:eastAsia="zh-CN" w:bidi="ar"/>
        </w:rPr>
        <w:t>广州实验室导师共同组织。</w:t>
      </w:r>
      <w:r>
        <w:rPr>
          <w:rFonts w:hint="eastAsia" w:ascii="宋体" w:hAnsi="宋体" w:eastAsia="宋体" w:cs="宋体"/>
          <w:i w:val="0"/>
          <w:iCs w:val="0"/>
          <w:caps w:val="0"/>
          <w:spacing w:val="0"/>
          <w:kern w:val="2"/>
          <w:sz w:val="21"/>
          <w:szCs w:val="21"/>
          <w:highlight w:val="none"/>
          <w:lang w:val="en-US" w:eastAsia="zh-CN" w:bidi="ar"/>
        </w:rPr>
        <w:t>国家实验室联培</w:t>
      </w:r>
      <w:r>
        <w:rPr>
          <w:rFonts w:hint="eastAsia" w:ascii="宋体" w:hAnsi="宋体" w:eastAsia="宋体" w:cs="宋体"/>
          <w:sz w:val="21"/>
          <w:szCs w:val="21"/>
          <w:highlight w:val="none"/>
          <w:lang w:bidi="ar"/>
        </w:rPr>
        <w:t>研究生的学制根据</w:t>
      </w:r>
      <w:r>
        <w:rPr>
          <w:rFonts w:hint="eastAsia" w:ascii="宋体" w:hAnsi="宋体" w:eastAsia="宋体" w:cs="宋体"/>
          <w:sz w:val="21"/>
          <w:szCs w:val="21"/>
          <w:highlight w:val="none"/>
          <w:lang w:val="en-US" w:eastAsia="zh-CN" w:bidi="ar"/>
        </w:rPr>
        <w:t>南华大学</w:t>
      </w:r>
      <w:r>
        <w:rPr>
          <w:rFonts w:hint="eastAsia" w:ascii="宋体" w:hAnsi="宋体" w:eastAsia="宋体" w:cs="宋体"/>
          <w:sz w:val="21"/>
          <w:szCs w:val="21"/>
          <w:highlight w:val="none"/>
          <w:lang w:bidi="ar"/>
        </w:rPr>
        <w:t>学籍管理规定执行。培养过程第一阶段为课程学习阶段，由</w:t>
      </w:r>
      <w:r>
        <w:rPr>
          <w:rFonts w:hint="eastAsia" w:ascii="宋体" w:hAnsi="宋体" w:eastAsia="宋体" w:cs="宋体"/>
          <w:sz w:val="21"/>
          <w:szCs w:val="21"/>
          <w:highlight w:val="none"/>
          <w:lang w:val="en-US" w:eastAsia="zh-CN" w:bidi="ar"/>
        </w:rPr>
        <w:t>我校</w:t>
      </w:r>
      <w:r>
        <w:rPr>
          <w:rFonts w:hint="eastAsia" w:ascii="宋体" w:hAnsi="宋体" w:eastAsia="宋体" w:cs="宋体"/>
          <w:sz w:val="21"/>
          <w:szCs w:val="21"/>
          <w:highlight w:val="none"/>
          <w:lang w:bidi="ar"/>
        </w:rPr>
        <w:t>相关</w:t>
      </w:r>
      <w:r>
        <w:rPr>
          <w:rFonts w:hint="eastAsia" w:ascii="宋体" w:hAnsi="宋体" w:eastAsia="宋体" w:cs="宋体"/>
          <w:sz w:val="21"/>
          <w:szCs w:val="21"/>
          <w:highlight w:val="none"/>
          <w:lang w:val="en-US" w:eastAsia="zh-CN" w:bidi="ar"/>
        </w:rPr>
        <w:t>二级</w:t>
      </w:r>
      <w:r>
        <w:rPr>
          <w:rFonts w:hint="eastAsia" w:ascii="宋体" w:hAnsi="宋体" w:eastAsia="宋体" w:cs="宋体"/>
          <w:sz w:val="21"/>
          <w:szCs w:val="21"/>
          <w:highlight w:val="none"/>
          <w:lang w:bidi="ar"/>
        </w:rPr>
        <w:t>培养单位负责提供学习条件和管理，通常不超过一年</w:t>
      </w:r>
      <w:r>
        <w:rPr>
          <w:rFonts w:hint="eastAsia" w:ascii="宋体" w:hAnsi="宋体" w:eastAsia="宋体" w:cs="宋体"/>
          <w:sz w:val="21"/>
          <w:szCs w:val="21"/>
          <w:highlight w:val="none"/>
          <w:lang w:eastAsia="zh-CN" w:bidi="ar"/>
        </w:rPr>
        <w:t>；</w:t>
      </w:r>
      <w:r>
        <w:rPr>
          <w:rFonts w:hint="eastAsia" w:ascii="宋体" w:hAnsi="宋体" w:eastAsia="宋体" w:cs="宋体"/>
          <w:sz w:val="21"/>
          <w:szCs w:val="21"/>
          <w:highlight w:val="none"/>
          <w:lang w:bidi="ar"/>
        </w:rPr>
        <w:t>第二阶段为学位论文研究阶段，学生集中到</w:t>
      </w:r>
      <w:r>
        <w:rPr>
          <w:rFonts w:hint="eastAsia" w:ascii="宋体" w:hAnsi="宋体" w:eastAsia="宋体" w:cs="宋体"/>
          <w:sz w:val="21"/>
          <w:szCs w:val="21"/>
          <w:highlight w:val="none"/>
          <w:lang w:val="en-US" w:eastAsia="zh-CN" w:bidi="ar"/>
        </w:rPr>
        <w:t>合作国家实验室</w:t>
      </w:r>
      <w:r>
        <w:rPr>
          <w:rFonts w:hint="eastAsia" w:ascii="宋体" w:hAnsi="宋体" w:eastAsia="宋体" w:cs="宋体"/>
          <w:sz w:val="21"/>
          <w:szCs w:val="21"/>
          <w:highlight w:val="none"/>
          <w:lang w:bidi="ar"/>
        </w:rPr>
        <w:t>进行课题研究，</w:t>
      </w:r>
      <w:r>
        <w:rPr>
          <w:rFonts w:hint="eastAsia" w:ascii="宋体" w:hAnsi="宋体" w:eastAsia="宋体" w:cs="宋体"/>
          <w:sz w:val="21"/>
          <w:szCs w:val="21"/>
          <w:highlight w:val="none"/>
          <w:lang w:val="en-US" w:eastAsia="zh-CN" w:bidi="ar"/>
        </w:rPr>
        <w:t>由国家实验室负责管理，国家实验室导师负责学术指导，</w:t>
      </w:r>
      <w:r>
        <w:rPr>
          <w:rFonts w:hint="eastAsia" w:ascii="宋体" w:hAnsi="宋体" w:eastAsia="宋体" w:cs="宋体"/>
          <w:sz w:val="21"/>
          <w:szCs w:val="21"/>
          <w:highlight w:val="none"/>
          <w:lang w:bidi="ar"/>
        </w:rPr>
        <w:t>研究课题由</w:t>
      </w:r>
      <w:r>
        <w:rPr>
          <w:rFonts w:hint="eastAsia" w:ascii="宋体" w:hAnsi="宋体" w:eastAsia="宋体" w:cs="宋体"/>
          <w:sz w:val="21"/>
          <w:szCs w:val="21"/>
          <w:highlight w:val="none"/>
          <w:lang w:val="en-US" w:eastAsia="zh-CN" w:bidi="ar"/>
        </w:rPr>
        <w:t>国家实验室导师</w:t>
      </w:r>
      <w:r>
        <w:rPr>
          <w:rFonts w:hint="eastAsia" w:ascii="宋体" w:hAnsi="宋体" w:eastAsia="宋体" w:cs="宋体"/>
          <w:sz w:val="21"/>
          <w:szCs w:val="21"/>
          <w:highlight w:val="none"/>
          <w:lang w:bidi="ar"/>
        </w:rPr>
        <w:t>根据科研需求确定，聚焦</w:t>
      </w:r>
      <w:r>
        <w:rPr>
          <w:rFonts w:hint="eastAsia" w:ascii="宋体" w:hAnsi="宋体" w:eastAsia="宋体" w:cs="宋体"/>
          <w:sz w:val="21"/>
          <w:szCs w:val="21"/>
          <w:highlight w:val="none"/>
          <w:lang w:val="en-US" w:eastAsia="zh-CN" w:bidi="ar"/>
        </w:rPr>
        <w:t>国家实验室</w:t>
      </w:r>
      <w:r>
        <w:rPr>
          <w:rFonts w:hint="eastAsia" w:ascii="宋体" w:hAnsi="宋体" w:eastAsia="宋体" w:cs="宋体"/>
          <w:sz w:val="21"/>
          <w:szCs w:val="21"/>
          <w:highlight w:val="none"/>
          <w:lang w:bidi="ar"/>
        </w:rPr>
        <w:t>核心攻关领域。</w:t>
      </w:r>
      <w:r>
        <w:rPr>
          <w:rFonts w:hint="eastAsia" w:ascii="宋体" w:hAnsi="宋体" w:eastAsia="宋体" w:cs="宋体"/>
          <w:i w:val="0"/>
          <w:iCs w:val="0"/>
          <w:caps w:val="0"/>
          <w:spacing w:val="0"/>
          <w:kern w:val="2"/>
          <w:sz w:val="21"/>
          <w:szCs w:val="21"/>
          <w:highlight w:val="none"/>
          <w:lang w:val="en-US" w:eastAsia="zh-CN" w:bidi="ar"/>
        </w:rPr>
        <w:t>国家实验室联培专项博士生的学费及住宿费缴费标准与普通博士计划相同，享受与</w:t>
      </w:r>
      <w:r>
        <w:rPr>
          <w:rFonts w:hint="eastAsia" w:ascii="宋体" w:hAnsi="宋体" w:eastAsia="宋体" w:cs="宋体"/>
          <w:kern w:val="2"/>
          <w:sz w:val="21"/>
          <w:szCs w:val="21"/>
          <w:highlight w:val="none"/>
          <w:lang w:bidi="ar"/>
        </w:rPr>
        <w:t>普通计划全日制博士研究生相同的奖助体系。</w:t>
      </w:r>
    </w:p>
    <w:p w14:paraId="431AF4EF">
      <w:pPr>
        <w:keepNext w:val="0"/>
        <w:keepLines w:val="0"/>
        <w:pageBreakBefore w:val="0"/>
        <w:kinsoku/>
        <w:wordWrap/>
        <w:overflowPunct/>
        <w:topLinePunct w:val="0"/>
        <w:autoSpaceDE/>
        <w:autoSpaceDN/>
        <w:bidi w:val="0"/>
        <w:adjustRightInd/>
        <w:snapToGrid w:val="0"/>
        <w:spacing w:line="360" w:lineRule="auto"/>
        <w:ind w:firstLine="0" w:firstLineChars="0"/>
        <w:jc w:val="both"/>
        <w:textAlignment w:val="auto"/>
        <w:rPr>
          <w:rFonts w:hint="eastAsia" w:ascii="宋体" w:hAnsi="宋体" w:eastAsia="宋体" w:cs="宋体"/>
          <w:b w:val="0"/>
          <w:bCs w:val="0"/>
          <w:sz w:val="21"/>
          <w:szCs w:val="21"/>
        </w:rPr>
      </w:pPr>
      <w:r>
        <w:rPr>
          <w:rFonts w:hint="eastAsia" w:ascii="宋体" w:hAnsi="宋体" w:eastAsia="宋体" w:cs="宋体"/>
          <w:b/>
          <w:bCs/>
          <w:color w:val="auto"/>
          <w:sz w:val="24"/>
          <w:szCs w:val="24"/>
          <w:lang w:val="en-US" w:eastAsia="zh-CN" w:bidi="ar"/>
        </w:rPr>
        <w:t>二、广州国家实验室</w:t>
      </w:r>
      <w:r>
        <w:rPr>
          <w:rFonts w:hint="eastAsia" w:ascii="宋体" w:hAnsi="宋体" w:eastAsia="宋体" w:cs="宋体"/>
          <w:b/>
          <w:bCs/>
          <w:color w:val="auto"/>
          <w:sz w:val="24"/>
          <w:szCs w:val="24"/>
          <w:lang w:bidi="ar"/>
        </w:rPr>
        <w:t>简介</w:t>
      </w:r>
    </w:p>
    <w:p w14:paraId="2C131D7E">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sz w:val="21"/>
          <w:szCs w:val="21"/>
          <w:lang w:val="en-US"/>
        </w:rPr>
      </w:pPr>
      <w:r>
        <w:rPr>
          <w:rFonts w:hint="eastAsia" w:ascii="宋体" w:hAnsi="宋体" w:eastAsia="宋体" w:cs="宋体"/>
          <w:b w:val="0"/>
          <w:bCs w:val="0"/>
          <w:sz w:val="21"/>
          <w:szCs w:val="21"/>
          <w:lang w:val="en-US" w:eastAsia="zh-CN"/>
        </w:rPr>
        <w:t>（一）实验室概况</w:t>
      </w:r>
    </w:p>
    <w:p w14:paraId="18F061E0">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州国家实验室（以下简称实验室）于2021年5月正式成立，科研和临床园区分别坐落于广州国际生物岛和大坦沙岛，是呼吸系统疾病及其防控领域的新型科研事业单位。作为国家战略科技力量的重要组成部分，实验室坚持面向世界科技前沿、面向经济主战场、面向国家重大需求、面向人民生命健康，着力解决呼吸系统疾病及其防控领域关键核心科学和技术难题，组建平战结合的综合创新研究平台和设施集群，打造应对呼吸系统疾病领域预防、预警与防控的关键科技力量，争取建设成为具有全球影响力的突破型、引领型、平台型为一体的大型综合性研究基地和原始创新策源地。</w:t>
      </w:r>
    </w:p>
    <w:p w14:paraId="4AF22C46">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广州实验室通过探索践行举国体制优势，按照“核心+基地+网络”的布局，统领汇聚全国优势科研力量，建立“跨学科、大协作、高强度”体系，开展关键核心技术攻关，近期产出了以1.1类抗肿瘤创新药PTS、全国首台国产场发射透射电镜，新冠药物来瑞特韦片、新冠重组蛋白疫苗V-01、超快速PCR扩增仪等为代表的多项重大成果，响应国家战略需求，保障人民健康。（官网链接：</w:t>
      </w:r>
      <w:r>
        <w:rPr>
          <w:rStyle w:val="7"/>
          <w:rFonts w:hint="eastAsia" w:ascii="宋体" w:hAnsi="宋体" w:eastAsia="宋体" w:cs="宋体"/>
          <w:color w:val="auto"/>
          <w:sz w:val="21"/>
          <w:szCs w:val="21"/>
          <w:lang w:val="en-US" w:eastAsia="zh-CN"/>
        </w:rPr>
        <w:t>https://www.gzlab.ac.cn/）。</w:t>
      </w:r>
    </w:p>
    <w:p w14:paraId="3635BC16">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实验室已与中国科学院大学、南开大学、中国科学技术大学、华中科技大学、中山大学、广州医科大学、上海科技大学、华南理工大学、复旦大学开展联合培养博士研究生专项，2026年新增南华大学</w:t>
      </w:r>
      <w:r>
        <w:rPr>
          <w:rFonts w:hint="eastAsia" w:ascii="宋体" w:hAnsi="宋体" w:eastAsia="宋体" w:cs="宋体"/>
          <w:sz w:val="21"/>
          <w:szCs w:val="21"/>
          <w:lang w:val="en-US" w:eastAsia="zh-CN"/>
        </w:rPr>
        <w:t>。联合培养博士研究生学籍由合作高校管理，在学校结束博士课程学习后，到实验室进行科研实践，按照联培要求通过学位论文答辩后授予对应高校的毕业证、学位证，广州国家实验室发放联合培养证书。</w:t>
      </w:r>
    </w:p>
    <w:p w14:paraId="7087C3E1">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（二）条件保障措施</w:t>
      </w:r>
    </w:p>
    <w:p w14:paraId="4303AA2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422"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b/>
          <w:bCs/>
          <w:kern w:val="2"/>
          <w:sz w:val="21"/>
          <w:szCs w:val="21"/>
          <w:lang w:val="en-US" w:eastAsia="zh-CN" w:bidi="ar-SA"/>
        </w:rPr>
        <w:t>学业保障体系</w:t>
      </w:r>
      <w:r>
        <w:rPr>
          <w:rFonts w:hint="eastAsia" w:ascii="宋体" w:hAnsi="宋体" w:eastAsia="宋体" w:cs="宋体"/>
          <w:kern w:val="2"/>
          <w:sz w:val="21"/>
          <w:szCs w:val="21"/>
          <w:lang w:val="en-US" w:eastAsia="zh-CN" w:bidi="ar-SA"/>
        </w:rPr>
        <w:t>：实验室拥有一支多学科交叉融合、创新活力充沛且具备国际视野的高水平导师团队；同时，配备了汇聚高端仪器设备的公共技术服务平台以及国内单体建筑面积最大的P3实验室，为科研实践提供坚实支撑。此外，实验室还为博士研究生量身定制了一系列兼具前沿性、科学性与实践性的专项研究项目，助力其学术成长。</w:t>
      </w:r>
    </w:p>
    <w:p w14:paraId="2D4036D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422"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bCs/>
          <w:kern w:val="2"/>
          <w:sz w:val="21"/>
          <w:szCs w:val="21"/>
          <w:lang w:val="en-US" w:eastAsia="zh-CN" w:bidi="ar-SA"/>
        </w:rPr>
        <w:t>生活保障体系</w:t>
      </w:r>
      <w:r>
        <w:rPr>
          <w:rFonts w:hint="eastAsia" w:ascii="宋体" w:hAnsi="宋体" w:eastAsia="宋体" w:cs="宋体"/>
          <w:kern w:val="2"/>
          <w:sz w:val="21"/>
          <w:szCs w:val="21"/>
          <w:lang w:val="en-US" w:eastAsia="zh-CN" w:bidi="ar-SA"/>
        </w:rPr>
        <w:t>：实验室致力于营造“类高校”的全方位服务保障环境，具体措施包括：实施全周期助研津贴制度，确保学生享受与学校同等或更高标准的助研津贴（含校内发放部分到手5000元/月左右）；提供食堂就餐补贴，减轻学生经济负担；统一安排入住生物岛研究生公寓，解决住宿难题（100元/月）。此外，为提升研究生的健康医疗保障水平，实验室特为其购买商业保险，涵盖门诊、意外伤害及综合医疗保险，全方位守护学生健康。在生活配套方面，实验室设施完备，咖啡馆、羽毛球场、乒乓球室、健身房等休闲娱乐设施一应俱全；同时，还开设了瑜伽、舞蹈、合唱等免费兴趣小组课程，丰富学生的课余生活。</w:t>
      </w:r>
    </w:p>
    <w:p w14:paraId="4959D20D">
      <w:pPr>
        <w:keepNext w:val="0"/>
        <w:keepLines w:val="0"/>
        <w:pageBreakBefore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（三）与我们联系</w:t>
      </w:r>
    </w:p>
    <w:p w14:paraId="104808D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咨询电话：020-6268909</w:t>
      </w:r>
    </w:p>
    <w:p w14:paraId="1F24831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邮箱：student@gzlab.ac.cn</w:t>
      </w:r>
    </w:p>
    <w:p w14:paraId="02AB133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default" w:ascii="Times New Roman" w:hAnsi="Times New Roman" w:eastAsia="仿宋_GB2312" w:cs="Times New Roman"/>
          <w:sz w:val="32"/>
          <w:szCs w:val="32"/>
          <w:lang w:eastAsia="zh-CN"/>
        </w:rPr>
      </w:pPr>
      <w:r>
        <w:rPr>
          <w:rFonts w:hint="eastAsia" w:ascii="宋体" w:hAnsi="宋体" w:eastAsia="宋体" w:cs="宋体"/>
          <w:kern w:val="2"/>
          <w:sz w:val="21"/>
          <w:szCs w:val="21"/>
          <w:lang w:val="en-US" w:eastAsia="zh-CN" w:bidi="ar-SA"/>
        </w:rPr>
        <w:t>欢迎各位同学加入广州国家实验室！</w:t>
      </w:r>
    </w:p>
    <w:p w14:paraId="0AA76DE8">
      <w:pPr>
        <w:snapToGrid w:val="0"/>
        <w:spacing w:line="360" w:lineRule="auto"/>
        <w:jc w:val="both"/>
        <w:rPr>
          <w:rFonts w:hint="eastAsia" w:ascii="方体小标宋" w:hAnsi="方体小标宋" w:eastAsia="方体小标宋" w:cs="方体小标宋"/>
          <w:b/>
          <w:bCs/>
          <w:sz w:val="30"/>
          <w:szCs w:val="30"/>
          <w:lang w:val="en-US" w:eastAsia="zh-CN"/>
        </w:rPr>
      </w:pPr>
      <w:r>
        <w:rPr>
          <w:rFonts w:hint="eastAsia" w:ascii="宋体" w:hAnsi="宋体" w:eastAsia="宋体" w:cs="宋体"/>
          <w:b/>
          <w:bCs/>
          <w:color w:val="auto"/>
          <w:sz w:val="24"/>
          <w:szCs w:val="24"/>
          <w:lang w:val="en-US" w:eastAsia="zh-CN" w:bidi="ar"/>
        </w:rPr>
        <w:t>三、广州国家实验室招生导师简介</w:t>
      </w:r>
    </w:p>
    <w:tbl>
      <w:tblPr>
        <w:tblStyle w:val="4"/>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6662"/>
      </w:tblGrid>
      <w:tr w14:paraId="3163E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2972" w:type="dxa"/>
            <w:tcBorders>
              <w:tl2br w:val="nil"/>
              <w:tr2bl w:val="nil"/>
            </w:tcBorders>
            <w:noWrap w:val="0"/>
            <w:vAlign w:val="center"/>
          </w:tcPr>
          <w:p w14:paraId="27E7E6D3">
            <w:pPr>
              <w:pStyle w:val="2"/>
              <w:snapToGrid w:val="0"/>
              <w:spacing w:before="0" w:beforeAutospacing="0" w:after="0" w:afterAutospacing="0"/>
              <w:jc w:val="center"/>
              <w:rPr>
                <w:rFonts w:hint="eastAsia" w:ascii="Arial" w:hAnsi="Arial" w:eastAsia="宋体" w:cs="Arial"/>
                <w:b/>
                <w:bCs/>
                <w:color w:val="B22626"/>
                <w:kern w:val="0"/>
                <w:sz w:val="32"/>
                <w:szCs w:val="21"/>
                <w:lang w:eastAsia="zh-CN"/>
              </w:rPr>
            </w:pPr>
            <w:r>
              <w:rPr>
                <w:rFonts w:hint="eastAsia" w:ascii="Arial" w:hAnsi="Arial" w:eastAsia="宋体" w:cs="Arial"/>
                <w:b/>
                <w:bCs/>
                <w:color w:val="B22626"/>
                <w:kern w:val="0"/>
                <w:sz w:val="32"/>
                <w:szCs w:val="21"/>
                <w:lang w:eastAsia="zh-CN"/>
              </w:rPr>
              <w:drawing>
                <wp:inline distT="0" distB="0" distL="114300" distR="114300">
                  <wp:extent cx="1493520" cy="1657985"/>
                  <wp:effectExtent l="0" t="0" r="11430" b="18415"/>
                  <wp:docPr id="1" name="图片 1" descr="6f5b5d5435e0422fbf38743257636a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f5b5d5435e0422fbf38743257636a39"/>
                          <pic:cNvPicPr>
                            <a:picLocks noChangeAspect="1"/>
                          </pic:cNvPicPr>
                        </pic:nvPicPr>
                        <pic:blipFill>
                          <a:blip r:embed="rId4"/>
                          <a:stretch>
                            <a:fillRect/>
                          </a:stretch>
                        </pic:blipFill>
                        <pic:spPr>
                          <a:xfrm>
                            <a:off x="0" y="0"/>
                            <a:ext cx="1493520" cy="1657985"/>
                          </a:xfrm>
                          <a:prstGeom prst="rect">
                            <a:avLst/>
                          </a:prstGeom>
                          <a:noFill/>
                          <a:ln>
                            <a:noFill/>
                          </a:ln>
                        </pic:spPr>
                      </pic:pic>
                    </a:graphicData>
                  </a:graphic>
                </wp:inline>
              </w:drawing>
            </w:r>
          </w:p>
        </w:tc>
        <w:tc>
          <w:tcPr>
            <w:tcW w:w="6662" w:type="dxa"/>
            <w:tcBorders>
              <w:tl2br w:val="nil"/>
              <w:tr2bl w:val="nil"/>
            </w:tcBorders>
            <w:noWrap w:val="0"/>
            <w:vAlign w:val="top"/>
          </w:tcPr>
          <w:p w14:paraId="7B4C3EF1">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程根宏，广州国家实验室研究员，美国加州大学洛杉矶分校(UCLA)微生物与免疫遗传学系著名终身教授。1984年毕业于武汉大学获学士学位，1990年在美国纽约Albert Einstein医学院分子生物学专业获得博士学位，后曾分别在美国洛克菲洛大学和麻省理工学院做博士后研究，导师为诺贝尔奖获得者:David Baltimore。从1996年开始至今，在美国洛杉矶加州大学的微生物学和分子遗传学系从事感染、免疫、癌症和代谢等多学科的研究，在国际著名杂志发表论文300余篇，被引用5万多次。曾先后获得包括美国白血病与淋巴癌学会颁发的斯托尔曼奖等多项科学成就奖，2012年被选为美国科学促进会(AAAS)会士，2018年被选为美国微生物学院院士。虽然旅居国外40余载，程根宏教授一直积极参与国内学科建设和科研合作，包括在中科院生物物理所建立感染与免疫中心，在吉林大学建立转化医学中心，在医科院建立系统医学中心，负责创建中国医学科学院系统医学研究所，并担任研究所首届所长。也获得包括海外杰青、长江学者和千人计划等国家级支持。</w:t>
            </w:r>
          </w:p>
          <w:p w14:paraId="40AE79EC">
            <w:pPr>
              <w:widowControl/>
              <w:shd w:val="clear" w:color="auto" w:fill="FFFFFF"/>
              <w:spacing w:line="280" w:lineRule="exact"/>
              <w:ind w:firstLine="422"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招生专业：基础医学（1001）</w:t>
            </w:r>
          </w:p>
          <w:p w14:paraId="233C50DC">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邮箱：cheng_genhong@gzlab.ac.cn</w:t>
            </w:r>
          </w:p>
        </w:tc>
      </w:tr>
      <w:tr w14:paraId="2189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2972" w:type="dxa"/>
            <w:tcBorders>
              <w:tl2br w:val="nil"/>
              <w:tr2bl w:val="nil"/>
            </w:tcBorders>
            <w:noWrap w:val="0"/>
            <w:vAlign w:val="center"/>
          </w:tcPr>
          <w:p w14:paraId="6635F0DE">
            <w:pPr>
              <w:pStyle w:val="2"/>
              <w:snapToGrid w:val="0"/>
              <w:spacing w:before="0" w:beforeAutospacing="0" w:after="0" w:afterAutospacing="0"/>
              <w:jc w:val="center"/>
              <w:rPr>
                <w:rFonts w:hint="eastAsia" w:ascii="Arial" w:hAnsi="Arial" w:eastAsia="宋体" w:cs="Arial"/>
                <w:b/>
                <w:bCs/>
                <w:color w:val="B22626"/>
                <w:kern w:val="0"/>
                <w:sz w:val="32"/>
                <w:szCs w:val="21"/>
                <w:lang w:eastAsia="zh-CN"/>
              </w:rPr>
            </w:pPr>
            <w:r>
              <w:rPr>
                <w:rFonts w:hint="eastAsia" w:ascii="Arial" w:hAnsi="Arial" w:eastAsia="宋体" w:cs="Arial"/>
                <w:b/>
                <w:bCs/>
                <w:color w:val="B22626"/>
                <w:kern w:val="0"/>
                <w:sz w:val="32"/>
                <w:szCs w:val="21"/>
                <w:lang w:eastAsia="zh-CN"/>
              </w:rPr>
              <w:drawing>
                <wp:inline distT="0" distB="0" distL="114300" distR="114300">
                  <wp:extent cx="1440815" cy="2183765"/>
                  <wp:effectExtent l="0" t="0" r="6985" b="6985"/>
                  <wp:docPr id="4" name="图片 2" descr="石正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石正丽"/>
                          <pic:cNvPicPr>
                            <a:picLocks noChangeAspect="1"/>
                          </pic:cNvPicPr>
                        </pic:nvPicPr>
                        <pic:blipFill>
                          <a:blip r:embed="rId5"/>
                          <a:stretch>
                            <a:fillRect/>
                          </a:stretch>
                        </pic:blipFill>
                        <pic:spPr>
                          <a:xfrm>
                            <a:off x="0" y="0"/>
                            <a:ext cx="1440815" cy="2183765"/>
                          </a:xfrm>
                          <a:prstGeom prst="rect">
                            <a:avLst/>
                          </a:prstGeom>
                          <a:noFill/>
                          <a:ln>
                            <a:noFill/>
                          </a:ln>
                        </pic:spPr>
                      </pic:pic>
                    </a:graphicData>
                  </a:graphic>
                </wp:inline>
              </w:drawing>
            </w:r>
          </w:p>
        </w:tc>
        <w:tc>
          <w:tcPr>
            <w:tcW w:w="6662" w:type="dxa"/>
            <w:tcBorders>
              <w:tl2br w:val="nil"/>
              <w:tr2bl w:val="nil"/>
            </w:tcBorders>
            <w:noWrap w:val="0"/>
            <w:vAlign w:val="top"/>
          </w:tcPr>
          <w:p w14:paraId="4692A7CF">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石正丽，广州国家实验室研究员。分别于1987、1990和2000年在武汉大学生物系、中科院武汉病毒研究所和法国蒙彼利埃第二大学获得学士、硕士和博士学位。1990年起先后被中科院武汉病毒研究所聘为实习研究员(1990)、助理研究员(1993)、副研究员(1998)和研究员(2000-2024)。2024年5月起被聘问广州实验室研究员。长期从事新发传染病病原学研究，在蝙蝠病毒发现、SARS病毒溯源、新冠肺炎病原鉴定等方面取得系列成果。先后在Nature、Science、Cell等国内外学术期刊发表论文。曾获湖北省自然科学奖一等奖（2017年，第一完成人）和二等奖（2003年，第一完成人）、国家自然科学奖二等奖（2018年，第一完成人）、上海市科技进步奖一等奖（2020年，第二完成人）。目前已与中国科学院大学、广州医科大学开展联合培养博士生。</w:t>
            </w:r>
          </w:p>
          <w:p w14:paraId="491D29D1">
            <w:pPr>
              <w:widowControl/>
              <w:shd w:val="clear" w:color="auto" w:fill="FFFFFF"/>
              <w:spacing w:line="280" w:lineRule="exact"/>
              <w:ind w:firstLine="422"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招生专业：基础医学（1001）</w:t>
            </w:r>
          </w:p>
          <w:p w14:paraId="5F6CE0A1">
            <w:pPr>
              <w:pStyle w:val="2"/>
              <w:snapToGrid w:val="0"/>
              <w:spacing w:before="0" w:beforeAutospacing="0" w:after="0" w:afterAutospacing="0" w:line="280" w:lineRule="exact"/>
              <w:ind w:firstLine="420" w:firstLineChars="200"/>
              <w:rPr>
                <w:rFonts w:ascii="Times New Roman" w:hAnsi="Times New Roman" w:eastAsia="宋体" w:cs="Times New Roman"/>
                <w:kern w:val="0"/>
                <w:sz w:val="21"/>
                <w:szCs w:val="21"/>
                <w:shd w:val="clear" w:color="auto" w:fill="FFFFFF"/>
                <w:lang w:val="en-US" w:eastAsia="zh-CN" w:bidi="ar"/>
              </w:rPr>
            </w:pPr>
            <w:r>
              <w:rPr>
                <w:rFonts w:ascii="Times New Roman" w:hAnsi="Times New Roman" w:eastAsia="宋体" w:cs="Times New Roman"/>
                <w:kern w:val="0"/>
                <w:sz w:val="21"/>
                <w:szCs w:val="21"/>
                <w:shd w:val="clear" w:color="auto" w:fill="FFFFFF"/>
                <w:lang w:val="en-US" w:eastAsia="zh-CN" w:bidi="ar"/>
              </w:rPr>
              <w:t>邮箱：</w:t>
            </w:r>
            <w:r>
              <w:rPr>
                <w:rFonts w:hint="eastAsia" w:ascii="Times New Roman" w:hAnsi="Times New Roman" w:eastAsia="宋体" w:cs="Times New Roman"/>
                <w:kern w:val="0"/>
                <w:sz w:val="21"/>
                <w:szCs w:val="21"/>
                <w:shd w:val="clear" w:color="auto" w:fill="FFFFFF"/>
                <w:lang w:val="en-US" w:eastAsia="zh-CN" w:bidi="ar"/>
              </w:rPr>
              <w:t>shi_zhengli@gzlab.ac.cn</w:t>
            </w:r>
          </w:p>
          <w:p w14:paraId="0F163D7A">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网站链接：https://www.gzlab.ac.cn/team/index_194.html</w:t>
            </w:r>
          </w:p>
        </w:tc>
      </w:tr>
      <w:tr w14:paraId="2B38D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5" w:hRule="atLeast"/>
        </w:trPr>
        <w:tc>
          <w:tcPr>
            <w:tcW w:w="2972" w:type="dxa"/>
            <w:tcBorders>
              <w:tl2br w:val="nil"/>
              <w:tr2bl w:val="nil"/>
            </w:tcBorders>
            <w:noWrap w:val="0"/>
            <w:vAlign w:val="center"/>
          </w:tcPr>
          <w:p w14:paraId="26008FAA">
            <w:pPr>
              <w:pStyle w:val="2"/>
              <w:snapToGrid w:val="0"/>
              <w:spacing w:before="0" w:beforeAutospacing="0" w:after="0" w:afterAutospacing="0"/>
              <w:jc w:val="center"/>
              <w:rPr>
                <w:rFonts w:hint="eastAsia" w:ascii="Arial" w:hAnsi="Arial" w:eastAsia="宋体" w:cs="Arial"/>
                <w:b/>
                <w:bCs/>
                <w:color w:val="B22626"/>
                <w:kern w:val="0"/>
                <w:sz w:val="32"/>
                <w:szCs w:val="21"/>
                <w:lang w:eastAsia="zh-CN"/>
              </w:rPr>
            </w:pPr>
            <w:r>
              <w:rPr>
                <w:rFonts w:hint="default" w:ascii="Times New Roman" w:hAnsi="Times New Roman" w:cs="Times New Roman"/>
              </w:rPr>
              <w:drawing>
                <wp:anchor distT="0" distB="0" distL="114300" distR="114300" simplePos="0" relativeHeight="251660288" behindDoc="0" locked="0" layoutInCell="1" allowOverlap="1">
                  <wp:simplePos x="0" y="0"/>
                  <wp:positionH relativeFrom="column">
                    <wp:posOffset>215900</wp:posOffset>
                  </wp:positionH>
                  <wp:positionV relativeFrom="paragraph">
                    <wp:posOffset>474345</wp:posOffset>
                  </wp:positionV>
                  <wp:extent cx="1442085" cy="1924050"/>
                  <wp:effectExtent l="0" t="0" r="5715" b="0"/>
                  <wp:wrapNone/>
                  <wp:docPr id="5" name="图片 12" descr="微信图片_2021102610340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微信图片_202110261034085-7"/>
                          <pic:cNvPicPr>
                            <a:picLocks noChangeAspect="1"/>
                          </pic:cNvPicPr>
                        </pic:nvPicPr>
                        <pic:blipFill>
                          <a:blip r:embed="rId6"/>
                          <a:stretch>
                            <a:fillRect/>
                          </a:stretch>
                        </pic:blipFill>
                        <pic:spPr>
                          <a:xfrm>
                            <a:off x="0" y="0"/>
                            <a:ext cx="1442085" cy="1924050"/>
                          </a:xfrm>
                          <a:prstGeom prst="rect">
                            <a:avLst/>
                          </a:prstGeom>
                          <a:noFill/>
                          <a:ln>
                            <a:noFill/>
                          </a:ln>
                        </pic:spPr>
                      </pic:pic>
                    </a:graphicData>
                  </a:graphic>
                </wp:anchor>
              </w:drawing>
            </w:r>
          </w:p>
        </w:tc>
        <w:tc>
          <w:tcPr>
            <w:tcW w:w="6662" w:type="dxa"/>
            <w:tcBorders>
              <w:tl2br w:val="nil"/>
              <w:tr2bl w:val="nil"/>
            </w:tcBorders>
            <w:noWrap w:val="0"/>
            <w:vAlign w:val="top"/>
          </w:tcPr>
          <w:p w14:paraId="278EC002">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default" w:ascii="Times New Roman" w:hAnsi="Times New Roman" w:eastAsia="宋体" w:cs="Times New Roman"/>
                <w:kern w:val="0"/>
                <w:sz w:val="21"/>
                <w:szCs w:val="21"/>
                <w:shd w:val="clear" w:color="auto" w:fill="FFFFFF"/>
                <w:lang w:val="en-US" w:eastAsia="zh-CN" w:bidi="ar"/>
              </w:rPr>
              <w:t>刘会生，广州国家实验室研究员，博士生导师，珠江领军人才，黄埔精英人才。武汉大学遗传学士，卫生部武汉生物制品研究所医学免疫学硕士，华中科技大学生物物理博士，留学美国威斯康星大学和美国国立卫生研究院。兼任中国研究型医院学会转化医学分会常务委员，广东省呼吸与健康学会干细胞与再生医学专委会主任委员，国家药品监督管理局疫苗及生物制品质量监测与评价重点实验室顾问专家等。研究方向为干细胞转化医学：人多能干细胞衍生的靶细胞或类器官（肺、胰、肠、神经等）的高效定向分化，发育和疾病模型构建、药物筛选、微流控芯片研发以及免疫细胞治疗等。发表SCI论文包括Nature Metabolism, Nature Neuroscience, Nature Communications, STTT, Cell Reports, ACS Nano, eLife等，先后承担了科技部重点研发，国自然面上、实验室重大项目等, 申请和授权专利多项。 课题组人才荟萃，有副研究员、博士后、博士/硕士学生，以及技术人员，具有干细胞生物学、神经科学、电生理，生物材料、微流控、生物3D打印等多学科的研究背景。为每个人的科学研究提供充分的个人指导和成长发展空间。会生，广州国家实验室研究员，珠江领军人才，黄埔精英人才。武汉大学遗传学士，卫生部武汉生物制品研究所医学免疫学硕士，华中科技大学生物物理博士，博士毕业后留学美国威斯康星大学和NIH。主要研究方向：（1）干细胞转化医学，包括特异组织的类器官定向分化（如肺，胰岛，神经等）、疾病模型、药物筛，和细胞替代治疗；（2）新型多组织类器官芯片，应用于干细胞分化精准调控、高通量药物筛选、实时检测、质量控制，以及多器官病理互作。已发表SCI论文40余篇，如Nature Neuroscience、 Cell Stem Cell、 Nature Biotechnology、 eLife、 PNAS、 Nature Communications、 Journal of Neuroscience等，影响因子累计500余，总引用次数3300余次。H指数28。先后承担了2项科技部重点研发项目（课题负责人和和子课题负责人），申请专利共计6项（其中授权2项）。</w:t>
            </w:r>
            <w:r>
              <w:rPr>
                <w:rFonts w:hint="eastAsia" w:ascii="Times New Roman" w:hAnsi="Times New Roman" w:eastAsia="宋体" w:cs="Times New Roman"/>
                <w:kern w:val="0"/>
                <w:sz w:val="21"/>
                <w:szCs w:val="21"/>
                <w:shd w:val="clear" w:color="auto" w:fill="FFFFFF"/>
                <w:lang w:val="en-US" w:eastAsia="zh-CN" w:bidi="ar"/>
              </w:rPr>
              <w:t>已与华中科技大学、华南理工大学、广州医科大学等高校联培博士。</w:t>
            </w:r>
          </w:p>
          <w:p w14:paraId="17513866">
            <w:pPr>
              <w:widowControl/>
              <w:shd w:val="clear" w:color="auto" w:fill="FFFFFF"/>
              <w:spacing w:line="280" w:lineRule="exact"/>
              <w:ind w:firstLine="422"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招生专业：基础医学（1001）</w:t>
            </w:r>
          </w:p>
          <w:p w14:paraId="6455E8C2">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default" w:ascii="Times New Roman" w:hAnsi="Times New Roman" w:eastAsia="宋体" w:cs="Times New Roman"/>
                <w:kern w:val="0"/>
                <w:sz w:val="21"/>
                <w:szCs w:val="21"/>
                <w:shd w:val="clear" w:color="auto" w:fill="FFFFFF"/>
                <w:lang w:val="en-US" w:eastAsia="zh-CN" w:bidi="ar"/>
              </w:rPr>
              <w:t>邮箱：</w:t>
            </w:r>
            <w:r>
              <w:rPr>
                <w:rFonts w:hint="default" w:ascii="Times New Roman" w:hAnsi="Times New Roman" w:eastAsia="宋体" w:cs="Times New Roman"/>
                <w:color w:val="auto"/>
                <w:kern w:val="0"/>
                <w:sz w:val="21"/>
                <w:szCs w:val="21"/>
                <w:u w:val="none"/>
                <w:shd w:val="clear" w:color="auto" w:fill="FFFFFF"/>
                <w:lang w:val="en-US" w:eastAsia="zh-CN" w:bidi="ar"/>
              </w:rPr>
              <w:t>liu_huisheng@gzlab.ac.cn</w:t>
            </w:r>
          </w:p>
          <w:p w14:paraId="7E6B2135">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网站链接：https://www.gzlab.ac.cn/team/index_101.html</w:t>
            </w:r>
          </w:p>
        </w:tc>
      </w:tr>
      <w:tr w14:paraId="13DF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trPr>
        <w:tc>
          <w:tcPr>
            <w:tcW w:w="2972" w:type="dxa"/>
            <w:tcBorders>
              <w:tl2br w:val="nil"/>
              <w:tr2bl w:val="nil"/>
            </w:tcBorders>
            <w:noWrap w:val="0"/>
            <w:vAlign w:val="center"/>
          </w:tcPr>
          <w:p w14:paraId="6631BDEE">
            <w:pPr>
              <w:pStyle w:val="2"/>
              <w:snapToGrid w:val="0"/>
              <w:spacing w:before="0" w:beforeAutospacing="0" w:after="0" w:afterAutospacing="0"/>
              <w:jc w:val="center"/>
              <w:rPr>
                <w:rFonts w:ascii="Times New Roman" w:hAnsi="Times New Roman" w:eastAsia="宋体" w:cs="Times New Roman"/>
                <w:kern w:val="0"/>
                <w:sz w:val="21"/>
                <w:szCs w:val="21"/>
                <w:shd w:val="clear" w:color="auto" w:fill="FFFFFF"/>
                <w:lang w:val="en-US" w:eastAsia="zh-CN" w:bidi="ar"/>
              </w:rPr>
            </w:pPr>
            <w:r>
              <w:rPr>
                <w:rFonts w:ascii="Times New Roman" w:hAnsi="Times New Roman" w:eastAsia="宋体" w:cs="Times New Roman"/>
                <w:kern w:val="0"/>
                <w:sz w:val="21"/>
                <w:szCs w:val="21"/>
                <w:shd w:val="clear" w:color="auto" w:fill="FFFFFF"/>
                <w:lang w:val="en-US" w:eastAsia="zh-CN" w:bidi="ar"/>
              </w:rPr>
              <w:drawing>
                <wp:inline distT="0" distB="0" distL="114300" distR="114300">
                  <wp:extent cx="1746885" cy="2332990"/>
                  <wp:effectExtent l="0" t="0" r="5715" b="10160"/>
                  <wp:docPr id="6" name="图片 3" descr="陈继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陈继征"/>
                          <pic:cNvPicPr>
                            <a:picLocks noChangeAspect="1"/>
                          </pic:cNvPicPr>
                        </pic:nvPicPr>
                        <pic:blipFill>
                          <a:blip r:embed="rId7"/>
                          <a:stretch>
                            <a:fillRect/>
                          </a:stretch>
                        </pic:blipFill>
                        <pic:spPr>
                          <a:xfrm>
                            <a:off x="0" y="0"/>
                            <a:ext cx="1746885" cy="2332990"/>
                          </a:xfrm>
                          <a:prstGeom prst="rect">
                            <a:avLst/>
                          </a:prstGeom>
                          <a:noFill/>
                          <a:ln>
                            <a:noFill/>
                          </a:ln>
                        </pic:spPr>
                      </pic:pic>
                    </a:graphicData>
                  </a:graphic>
                </wp:inline>
              </w:drawing>
            </w:r>
          </w:p>
        </w:tc>
        <w:tc>
          <w:tcPr>
            <w:tcW w:w="6662" w:type="dxa"/>
            <w:tcBorders>
              <w:tl2br w:val="nil"/>
              <w:tr2bl w:val="nil"/>
            </w:tcBorders>
            <w:noWrap w:val="0"/>
            <w:vAlign w:val="top"/>
          </w:tcPr>
          <w:p w14:paraId="24F6613C">
            <w:pPr>
              <w:widowControl/>
              <w:shd w:val="clear" w:color="auto" w:fill="FFFFFF"/>
              <w:spacing w:line="280" w:lineRule="exact"/>
              <w:ind w:firstLine="420" w:firstLineChars="200"/>
              <w:rPr>
                <w:rFonts w:ascii="Times New Roman" w:hAnsi="Times New Roman" w:eastAsia="宋体" w:cs="Times New Roman"/>
                <w:kern w:val="0"/>
                <w:sz w:val="21"/>
                <w:szCs w:val="21"/>
                <w:shd w:val="clear" w:color="auto" w:fill="FFFFFF"/>
                <w:lang w:val="en-US" w:eastAsia="zh-CN" w:bidi="ar"/>
              </w:rPr>
            </w:pPr>
          </w:p>
          <w:p w14:paraId="65022922">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陈继征，男，广州实验室基础研究部研究员。前期从事病毒学基础研究，揭示肝炎病毒、蜱传脑炎病毒等复制机制及致病机理。阐明了糖脂代谢关键酶在HCV复制中的功能，揭示了HCV导致肝外症状如糖尿病的新机制；在国际率先建立了具有完整免疫应答、并形成持续病毒血症以及肝脏病理的HCV慢性感染转基因小鼠模型。加入广州国家实验室后，主要从事呼吸道病原感染人群队列建设，绘制中国主要易感人群呼吸道感染的多病原、精细化动态流行图谱，阐明年龄特异性的免疫应答特征与调控规律，解析重症感染的关键免疫机制。并开展呼吸道病毒中和抗体和基于高效中和抗体的反向疫苗研究，先后开发针对呼吸道合胞病毒，偏肺病毒等呼吸道病毒的疫苗。先后主持和参与国家973计划，国家重点研发计划，国家自然科学基金课题等研究项目，发表SCI论文40余篇。前期已与中国科学院大学、广州医科大学联培博士生。</w:t>
            </w:r>
          </w:p>
          <w:p w14:paraId="741E3A60">
            <w:pPr>
              <w:widowControl/>
              <w:shd w:val="clear" w:color="auto" w:fill="FFFFFF"/>
              <w:spacing w:line="280" w:lineRule="exact"/>
              <w:ind w:firstLine="422" w:firstLineChars="200"/>
              <w:rPr>
                <w:rFonts w:hint="default" w:ascii="Times New Roman" w:hAnsi="Times New Roman" w:eastAsia="宋体" w:cs="Times New Roman"/>
                <w:b/>
                <w:bCs/>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招生专业：公共卫生与预防医学（1004）</w:t>
            </w:r>
          </w:p>
          <w:p w14:paraId="7E5A9CF4">
            <w:pPr>
              <w:pStyle w:val="2"/>
              <w:snapToGrid w:val="0"/>
              <w:spacing w:before="0" w:beforeAutospacing="0" w:after="0" w:afterAutospacing="0" w:line="280" w:lineRule="exact"/>
              <w:ind w:firstLine="420" w:firstLineChars="200"/>
              <w:rPr>
                <w:rFonts w:ascii="Times New Roman" w:hAnsi="Times New Roman" w:eastAsia="宋体" w:cs="Times New Roman"/>
                <w:kern w:val="0"/>
                <w:sz w:val="21"/>
                <w:szCs w:val="21"/>
                <w:shd w:val="clear" w:color="auto" w:fill="FFFFFF"/>
                <w:lang w:val="en-US" w:eastAsia="zh-CN" w:bidi="ar"/>
              </w:rPr>
            </w:pPr>
            <w:r>
              <w:rPr>
                <w:rFonts w:ascii="Times New Roman" w:hAnsi="Times New Roman" w:eastAsia="宋体" w:cs="Times New Roman"/>
                <w:kern w:val="0"/>
                <w:sz w:val="21"/>
                <w:szCs w:val="21"/>
                <w:shd w:val="clear" w:color="auto" w:fill="FFFFFF"/>
                <w:lang w:val="en-US" w:eastAsia="zh-CN" w:bidi="ar"/>
              </w:rPr>
              <w:t>邮箱：</w:t>
            </w:r>
            <w:r>
              <w:rPr>
                <w:rFonts w:ascii="Times New Roman" w:hAnsi="Times New Roman" w:eastAsia="宋体" w:cs="Times New Roman"/>
                <w:kern w:val="0"/>
                <w:sz w:val="21"/>
                <w:szCs w:val="21"/>
                <w:shd w:val="clear" w:color="auto" w:fill="FFFFFF"/>
                <w:lang w:val="en-US" w:eastAsia="zh-CN" w:bidi="ar"/>
              </w:rPr>
              <w:fldChar w:fldCharType="begin"/>
            </w:r>
            <w:r>
              <w:rPr>
                <w:rFonts w:ascii="Times New Roman" w:hAnsi="Times New Roman" w:eastAsia="宋体" w:cs="Times New Roman"/>
                <w:kern w:val="0"/>
                <w:sz w:val="21"/>
                <w:szCs w:val="21"/>
                <w:shd w:val="clear" w:color="auto" w:fill="FFFFFF"/>
                <w:lang w:val="en-US" w:eastAsia="zh-CN" w:bidi="ar"/>
              </w:rPr>
              <w:instrText xml:space="preserve"> HYPERLINK "mailto:weng_hengyou@gzlab.ac.cn" </w:instrText>
            </w:r>
            <w:r>
              <w:rPr>
                <w:rFonts w:ascii="Times New Roman" w:hAnsi="Times New Roman" w:eastAsia="宋体" w:cs="Times New Roman"/>
                <w:kern w:val="0"/>
                <w:sz w:val="21"/>
                <w:szCs w:val="21"/>
                <w:shd w:val="clear" w:color="auto" w:fill="FFFFFF"/>
                <w:lang w:val="en-US" w:eastAsia="zh-CN" w:bidi="ar"/>
              </w:rPr>
              <w:fldChar w:fldCharType="separate"/>
            </w:r>
            <w:r>
              <w:rPr>
                <w:rFonts w:hint="eastAsia" w:ascii="Times New Roman" w:hAnsi="Times New Roman" w:cs="Times New Roman"/>
                <w:kern w:val="0"/>
                <w:sz w:val="21"/>
                <w:szCs w:val="21"/>
                <w:shd w:val="clear" w:color="auto" w:fill="FFFFFF"/>
                <w:lang w:val="en-US" w:eastAsia="zh-CN" w:bidi="ar"/>
              </w:rPr>
              <w:t>chen</w:t>
            </w:r>
            <w:r>
              <w:rPr>
                <w:rFonts w:ascii="Times New Roman" w:hAnsi="Times New Roman" w:eastAsia="宋体" w:cs="Times New Roman"/>
                <w:kern w:val="0"/>
                <w:sz w:val="21"/>
                <w:szCs w:val="21"/>
                <w:shd w:val="clear" w:color="auto" w:fill="FFFFFF"/>
                <w:lang w:val="en-US" w:eastAsia="zh-CN" w:bidi="ar"/>
              </w:rPr>
              <w:t>_</w:t>
            </w:r>
            <w:r>
              <w:rPr>
                <w:rFonts w:hint="eastAsia" w:ascii="Times New Roman" w:hAnsi="Times New Roman" w:cs="Times New Roman"/>
                <w:kern w:val="0"/>
                <w:sz w:val="21"/>
                <w:szCs w:val="21"/>
                <w:shd w:val="clear" w:color="auto" w:fill="FFFFFF"/>
                <w:lang w:val="en-US" w:eastAsia="zh-CN" w:bidi="ar"/>
              </w:rPr>
              <w:t>jizheng</w:t>
            </w:r>
            <w:r>
              <w:rPr>
                <w:rFonts w:ascii="Times New Roman" w:hAnsi="Times New Roman" w:eastAsia="宋体" w:cs="Times New Roman"/>
                <w:kern w:val="0"/>
                <w:sz w:val="21"/>
                <w:szCs w:val="21"/>
                <w:shd w:val="clear" w:color="auto" w:fill="FFFFFF"/>
                <w:lang w:val="en-US" w:eastAsia="zh-CN" w:bidi="ar"/>
              </w:rPr>
              <w:t>@gzlab.ac.cn</w:t>
            </w:r>
            <w:r>
              <w:rPr>
                <w:rFonts w:ascii="Times New Roman" w:hAnsi="Times New Roman" w:eastAsia="宋体" w:cs="Times New Roman"/>
                <w:kern w:val="0"/>
                <w:sz w:val="21"/>
                <w:szCs w:val="21"/>
                <w:shd w:val="clear" w:color="auto" w:fill="FFFFFF"/>
                <w:lang w:val="en-US" w:eastAsia="zh-CN" w:bidi="ar"/>
              </w:rPr>
              <w:fldChar w:fldCharType="end"/>
            </w:r>
          </w:p>
          <w:p w14:paraId="4B494BDC">
            <w:pPr>
              <w:pStyle w:val="2"/>
              <w:snapToGrid w:val="0"/>
              <w:spacing w:before="0" w:beforeAutospacing="0" w:after="0" w:afterAutospacing="0"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网站链接：https://www.gzlab.ac.cn/team/index_117.html</w:t>
            </w:r>
          </w:p>
        </w:tc>
      </w:tr>
      <w:tr w14:paraId="179F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8" w:hRule="atLeast"/>
        </w:trPr>
        <w:tc>
          <w:tcPr>
            <w:tcW w:w="2972" w:type="dxa"/>
            <w:tcBorders>
              <w:tl2br w:val="nil"/>
              <w:tr2bl w:val="nil"/>
            </w:tcBorders>
            <w:noWrap w:val="0"/>
            <w:vAlign w:val="center"/>
          </w:tcPr>
          <w:p w14:paraId="1A05EC46">
            <w:pPr>
              <w:pStyle w:val="2"/>
              <w:snapToGrid w:val="0"/>
              <w:spacing w:before="0" w:beforeAutospacing="0" w:after="0" w:afterAutospacing="0"/>
              <w:jc w:val="center"/>
            </w:pPr>
            <w:r>
              <w:rPr>
                <w:rStyle w:val="6"/>
                <w:rFonts w:hint="default" w:ascii="Times New Roman" w:hAnsi="Times New Roman" w:eastAsia="仿宋_GB2312" w:cs="Times New Roman"/>
                <w:sz w:val="24"/>
              </w:rPr>
              <w:drawing>
                <wp:anchor distT="0" distB="0" distL="114300" distR="114300" simplePos="0" relativeHeight="251659264" behindDoc="0" locked="0" layoutInCell="1" allowOverlap="1">
                  <wp:simplePos x="0" y="0"/>
                  <wp:positionH relativeFrom="column">
                    <wp:posOffset>34925</wp:posOffset>
                  </wp:positionH>
                  <wp:positionV relativeFrom="paragraph">
                    <wp:posOffset>146685</wp:posOffset>
                  </wp:positionV>
                  <wp:extent cx="1722120" cy="2583815"/>
                  <wp:effectExtent l="0" t="0" r="11430" b="6985"/>
                  <wp:wrapNone/>
                  <wp:docPr id="7" name="图片 18" descr="a99b2a117199ab34c0b75c99b7c5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descr="a99b2a117199ab34c0b75c99b7c5efe"/>
                          <pic:cNvPicPr>
                            <a:picLocks noChangeAspect="1"/>
                          </pic:cNvPicPr>
                        </pic:nvPicPr>
                        <pic:blipFill>
                          <a:blip r:embed="rId8"/>
                          <a:stretch>
                            <a:fillRect/>
                          </a:stretch>
                        </pic:blipFill>
                        <pic:spPr>
                          <a:xfrm>
                            <a:off x="0" y="0"/>
                            <a:ext cx="1722120" cy="2583815"/>
                          </a:xfrm>
                          <a:prstGeom prst="rect">
                            <a:avLst/>
                          </a:prstGeom>
                          <a:noFill/>
                          <a:ln>
                            <a:noFill/>
                          </a:ln>
                        </pic:spPr>
                      </pic:pic>
                    </a:graphicData>
                  </a:graphic>
                </wp:anchor>
              </w:drawing>
            </w:r>
          </w:p>
        </w:tc>
        <w:tc>
          <w:tcPr>
            <w:tcW w:w="6662" w:type="dxa"/>
            <w:tcBorders>
              <w:tl2br w:val="nil"/>
              <w:tr2bl w:val="nil"/>
            </w:tcBorders>
            <w:noWrap w:val="0"/>
            <w:vAlign w:val="top"/>
          </w:tcPr>
          <w:p w14:paraId="46FCDC58">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bookmarkStart w:id="0" w:name="OLE_LINK2"/>
            <w:bookmarkStart w:id="1" w:name="OLE_LINK1"/>
            <w:r>
              <w:rPr>
                <w:rFonts w:hint="eastAsia" w:ascii="Times New Roman" w:hAnsi="Times New Roman" w:eastAsia="宋体" w:cs="Times New Roman"/>
                <w:kern w:val="0"/>
                <w:sz w:val="21"/>
                <w:szCs w:val="21"/>
                <w:shd w:val="clear" w:color="auto" w:fill="FFFFFF"/>
                <w:lang w:val="en-US" w:eastAsia="zh-CN" w:bidi="ar"/>
              </w:rPr>
              <w:t>彭伟，研究员，博士，博士生导师。广州国家实验室病原体结构与临床应用创新研究院院长，领导团队开展针对呼吸道病原体的预防及治疗手段的研究。曾领导抗新冠病毒小分子药物开发项目，获得国家药监局临床研究许可。领导多项医疗器械及诊断产品开发，获得中国、美国、欧盟等多国监管机构上市许可。作为通讯作者及第一作者，发表研究成果于Cell、Signal Transduction and Targeted Therap、Nature Structural &amp; Molecular Biology, Nature Communications, Nucleic Acid Research等杂志。在加入广州实验室前，曾任中国科学院生物物理研究所助理研究员、课题组长及医疗健康领域创业公司首席科学家等职务。彭伟研究员于中国科学技术大学与中国科学院生物物理研究所分别取得学士及博士学位。</w:t>
            </w:r>
          </w:p>
          <w:p w14:paraId="7222E02C">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研究方向：针对冠状病毒、呼吸道合胞病毒、脑膜炎奈瑟菌、结核分枝杆菌等呼吸道病原体的新型疫苗、药物开发，及呼吸道病原体侵染机制研究等领域。目前已与中山大学、中国科学技术大学、广州医科大学联合培养博士生。</w:t>
            </w:r>
          </w:p>
          <w:p w14:paraId="22B7A252">
            <w:pPr>
              <w:widowControl/>
              <w:shd w:val="clear" w:color="auto" w:fill="FFFFFF"/>
              <w:spacing w:line="280" w:lineRule="exact"/>
              <w:ind w:firstLine="422"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招生专业：基础医学（1001）</w:t>
            </w:r>
          </w:p>
          <w:p w14:paraId="6ADEDA9D">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ascii="Times New Roman" w:hAnsi="Times New Roman" w:eastAsia="宋体" w:cs="Times New Roman"/>
                <w:kern w:val="0"/>
                <w:sz w:val="21"/>
                <w:szCs w:val="21"/>
                <w:shd w:val="clear" w:color="auto" w:fill="FFFFFF"/>
                <w:lang w:val="en-US" w:eastAsia="zh-CN" w:bidi="ar"/>
              </w:rPr>
              <w:t>邮箱：</w:t>
            </w:r>
            <w:r>
              <w:rPr>
                <w:rFonts w:hint="eastAsia" w:ascii="Times New Roman" w:hAnsi="Times New Roman" w:eastAsia="宋体" w:cs="Times New Roman"/>
                <w:color w:val="auto"/>
                <w:kern w:val="0"/>
                <w:sz w:val="21"/>
                <w:szCs w:val="21"/>
                <w:u w:val="none"/>
                <w:shd w:val="clear" w:color="auto" w:fill="FFFFFF"/>
                <w:lang w:val="en-US" w:eastAsia="zh-CN" w:bidi="ar"/>
              </w:rPr>
              <w:t>peng_wei@gzlab.ac.cn</w:t>
            </w:r>
          </w:p>
          <w:p w14:paraId="67F228EC">
            <w:pPr>
              <w:widowControl/>
              <w:shd w:val="clear" w:color="auto" w:fill="FFFFFF"/>
              <w:spacing w:line="280" w:lineRule="exact"/>
              <w:ind w:firstLine="420" w:firstLineChars="200"/>
              <w:rPr>
                <w:rStyle w:val="6"/>
                <w:rFonts w:ascii="Times New Roman" w:hAnsi="Times New Roman" w:cs="Times New Roman"/>
                <w:sz w:val="21"/>
                <w:szCs w:val="21"/>
              </w:rPr>
            </w:pPr>
            <w:r>
              <w:rPr>
                <w:rFonts w:hint="eastAsia" w:ascii="Times New Roman" w:hAnsi="Times New Roman" w:eastAsia="宋体" w:cs="Times New Roman"/>
                <w:kern w:val="0"/>
                <w:sz w:val="21"/>
                <w:szCs w:val="21"/>
                <w:shd w:val="clear" w:color="auto" w:fill="FFFFFF"/>
                <w:lang w:val="en-US" w:eastAsia="zh-CN" w:bidi="ar"/>
              </w:rPr>
              <w:t>官方网站链接</w:t>
            </w:r>
            <w:bookmarkEnd w:id="0"/>
            <w:r>
              <w:rPr>
                <w:rFonts w:hint="eastAsia" w:ascii="Times New Roman" w:hAnsi="Times New Roman" w:eastAsia="宋体" w:cs="Times New Roman"/>
                <w:kern w:val="0"/>
                <w:sz w:val="21"/>
                <w:szCs w:val="21"/>
                <w:shd w:val="clear" w:color="auto" w:fill="FFFFFF"/>
                <w:lang w:val="en-US" w:eastAsia="zh-CN" w:bidi="ar"/>
              </w:rPr>
              <w:t>：</w:t>
            </w:r>
            <w:r>
              <w:rPr>
                <w:rFonts w:hint="default" w:ascii="Times New Roman" w:hAnsi="Times New Roman" w:eastAsia="宋体" w:cs="Times New Roman"/>
                <w:kern w:val="0"/>
                <w:sz w:val="21"/>
                <w:szCs w:val="21"/>
                <w:shd w:val="clear" w:color="auto" w:fill="FFFFFF"/>
                <w:lang w:val="en-US" w:eastAsia="zh-CN" w:bidi="ar"/>
              </w:rPr>
              <w:t>https://www.gzlab.ac.cn/team/index_110.html</w:t>
            </w:r>
            <w:bookmarkEnd w:id="1"/>
          </w:p>
        </w:tc>
      </w:tr>
      <w:tr w14:paraId="5E2A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2972" w:type="dxa"/>
            <w:tcBorders>
              <w:tl2br w:val="nil"/>
              <w:tr2bl w:val="nil"/>
            </w:tcBorders>
            <w:noWrap w:val="0"/>
            <w:vAlign w:val="center"/>
          </w:tcPr>
          <w:p w14:paraId="31BF4ADF">
            <w:pPr>
              <w:pStyle w:val="2"/>
              <w:snapToGrid w:val="0"/>
              <w:spacing w:before="0" w:beforeAutospacing="0" w:after="0" w:afterAutospacing="0"/>
              <w:jc w:val="center"/>
              <w:rPr>
                <w:rFonts w:hint="eastAsia" w:ascii="Arial" w:hAnsi="Arial" w:eastAsia="宋体" w:cs="Arial"/>
                <w:b/>
                <w:bCs/>
                <w:color w:val="B22626"/>
                <w:kern w:val="0"/>
                <w:sz w:val="32"/>
                <w:szCs w:val="21"/>
                <w:lang w:eastAsia="zh-CN"/>
              </w:rPr>
            </w:pPr>
            <w:r>
              <w:rPr>
                <w:rFonts w:hint="eastAsia" w:ascii="Arial" w:hAnsi="Arial" w:eastAsia="宋体" w:cs="Arial"/>
                <w:b/>
                <w:bCs/>
                <w:color w:val="B22626"/>
                <w:kern w:val="0"/>
                <w:sz w:val="32"/>
                <w:szCs w:val="21"/>
                <w:lang w:eastAsia="zh-CN"/>
              </w:rPr>
              <w:drawing>
                <wp:inline distT="0" distB="0" distL="114300" distR="114300">
                  <wp:extent cx="1748155" cy="1929765"/>
                  <wp:effectExtent l="0" t="0" r="4445" b="13335"/>
                  <wp:docPr id="2" name="图片 4" descr="于京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于京佑"/>
                          <pic:cNvPicPr>
                            <a:picLocks noChangeAspect="1"/>
                          </pic:cNvPicPr>
                        </pic:nvPicPr>
                        <pic:blipFill>
                          <a:blip r:embed="rId9"/>
                          <a:stretch>
                            <a:fillRect/>
                          </a:stretch>
                        </pic:blipFill>
                        <pic:spPr>
                          <a:xfrm>
                            <a:off x="0" y="0"/>
                            <a:ext cx="1748155" cy="1929765"/>
                          </a:xfrm>
                          <a:prstGeom prst="rect">
                            <a:avLst/>
                          </a:prstGeom>
                          <a:noFill/>
                          <a:ln>
                            <a:noFill/>
                          </a:ln>
                        </pic:spPr>
                      </pic:pic>
                    </a:graphicData>
                  </a:graphic>
                </wp:inline>
              </w:drawing>
            </w:r>
          </w:p>
        </w:tc>
        <w:tc>
          <w:tcPr>
            <w:tcW w:w="6662" w:type="dxa"/>
            <w:tcBorders>
              <w:tl2br w:val="nil"/>
              <w:tr2bl w:val="nil"/>
            </w:tcBorders>
            <w:noWrap w:val="0"/>
            <w:vAlign w:val="top"/>
          </w:tcPr>
          <w:p w14:paraId="619A5B8F">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于京佑，广州国家实验室研究员，国家重大人才项目和广州市领军人才项目入选者。本、硕、博分别毕业于中国农业大学、武汉大学和美国俄亥俄州立大学；之后赴美国哈佛大学医学院从事博士后研究。长期致力于重要病毒疫苗研发及病毒和宿主互作机制研究。包括：1）抗病毒疫苗和抗体药物研发；2）呼吸道黏膜免疫诱导和效应机制研究；3）病毒与宿主的免疫作用机制研究。迄今在New England Journal of Medicine, JAMA, Science、Nature、Cell、Nature Medicine等核心期刊发表SCI论文100余篇，总引用万余次，连续4年入选全球前2%顶尖科学家榜单。先后获得美国俄亥俄州立大学杰出科研奖、美国病毒学协会科研旅行奖、哈佛大学华人生命科学杰出科研奖等。目前主持国家青年人才项目及自然科学基金面上和重大研究计划项等目。前期已与南开大学、中国科学技术大学、中山大学、华南理工大学等高校联培博士。</w:t>
            </w:r>
          </w:p>
          <w:p w14:paraId="607D97B6">
            <w:pPr>
              <w:widowControl/>
              <w:shd w:val="clear" w:color="auto" w:fill="FFFFFF"/>
              <w:spacing w:line="280" w:lineRule="exact"/>
              <w:ind w:firstLine="422"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招生专业：临床医学（1002）</w:t>
            </w:r>
          </w:p>
          <w:p w14:paraId="05F3B6D6">
            <w:pPr>
              <w:pStyle w:val="2"/>
              <w:snapToGrid w:val="0"/>
              <w:spacing w:before="0" w:beforeAutospacing="0" w:after="0" w:afterAutospacing="0" w:line="280" w:lineRule="exact"/>
              <w:ind w:firstLine="420" w:firstLineChars="200"/>
              <w:rPr>
                <w:rFonts w:ascii="Times New Roman" w:hAnsi="Times New Roman" w:eastAsia="宋体" w:cs="Times New Roman"/>
                <w:kern w:val="0"/>
                <w:sz w:val="21"/>
                <w:szCs w:val="21"/>
                <w:shd w:val="clear" w:color="auto" w:fill="FFFFFF"/>
                <w:lang w:val="en-US" w:eastAsia="zh-CN" w:bidi="ar"/>
              </w:rPr>
            </w:pPr>
            <w:r>
              <w:rPr>
                <w:rFonts w:ascii="Times New Roman" w:hAnsi="Times New Roman" w:eastAsia="宋体" w:cs="Times New Roman"/>
                <w:kern w:val="0"/>
                <w:sz w:val="21"/>
                <w:szCs w:val="21"/>
                <w:shd w:val="clear" w:color="auto" w:fill="FFFFFF"/>
                <w:lang w:val="en-US" w:eastAsia="zh-CN" w:bidi="ar"/>
              </w:rPr>
              <w:t>邮箱：</w:t>
            </w:r>
            <w:r>
              <w:rPr>
                <w:rFonts w:ascii="Times New Roman" w:hAnsi="Times New Roman" w:eastAsia="宋体" w:cs="Times New Roman"/>
                <w:kern w:val="0"/>
                <w:sz w:val="21"/>
                <w:szCs w:val="21"/>
                <w:shd w:val="clear" w:color="auto" w:fill="FFFFFF"/>
                <w:lang w:val="en-US" w:eastAsia="zh-CN" w:bidi="ar"/>
              </w:rPr>
              <w:fldChar w:fldCharType="begin"/>
            </w:r>
            <w:r>
              <w:rPr>
                <w:rFonts w:ascii="Times New Roman" w:hAnsi="Times New Roman" w:eastAsia="宋体" w:cs="Times New Roman"/>
                <w:kern w:val="0"/>
                <w:sz w:val="21"/>
                <w:szCs w:val="21"/>
                <w:shd w:val="clear" w:color="auto" w:fill="FFFFFF"/>
                <w:lang w:val="en-US" w:eastAsia="zh-CN" w:bidi="ar"/>
              </w:rPr>
              <w:instrText xml:space="preserve"> HYPERLINK "mailto:weng_hengyou@gzlab.ac.cn" </w:instrText>
            </w:r>
            <w:r>
              <w:rPr>
                <w:rFonts w:ascii="Times New Roman" w:hAnsi="Times New Roman" w:eastAsia="宋体" w:cs="Times New Roman"/>
                <w:kern w:val="0"/>
                <w:sz w:val="21"/>
                <w:szCs w:val="21"/>
                <w:shd w:val="clear" w:color="auto" w:fill="FFFFFF"/>
                <w:lang w:val="en-US" w:eastAsia="zh-CN" w:bidi="ar"/>
              </w:rPr>
              <w:fldChar w:fldCharType="separate"/>
            </w:r>
            <w:r>
              <w:rPr>
                <w:rFonts w:hint="eastAsia" w:ascii="Times New Roman" w:hAnsi="Times New Roman" w:cs="Times New Roman"/>
                <w:kern w:val="0"/>
                <w:sz w:val="21"/>
                <w:szCs w:val="21"/>
                <w:shd w:val="clear" w:color="auto" w:fill="FFFFFF"/>
                <w:lang w:val="en-US" w:eastAsia="zh-CN" w:bidi="ar"/>
              </w:rPr>
              <w:t>yu</w:t>
            </w:r>
            <w:r>
              <w:rPr>
                <w:rFonts w:ascii="Times New Roman" w:hAnsi="Times New Roman" w:eastAsia="宋体" w:cs="Times New Roman"/>
                <w:kern w:val="0"/>
                <w:sz w:val="21"/>
                <w:szCs w:val="21"/>
                <w:shd w:val="clear" w:color="auto" w:fill="FFFFFF"/>
                <w:lang w:val="en-US" w:eastAsia="zh-CN" w:bidi="ar"/>
              </w:rPr>
              <w:t>_</w:t>
            </w:r>
            <w:r>
              <w:rPr>
                <w:rFonts w:hint="eastAsia" w:ascii="Times New Roman" w:hAnsi="Times New Roman" w:cs="Times New Roman"/>
                <w:kern w:val="0"/>
                <w:sz w:val="21"/>
                <w:szCs w:val="21"/>
                <w:shd w:val="clear" w:color="auto" w:fill="FFFFFF"/>
                <w:lang w:val="en-US" w:eastAsia="zh-CN" w:bidi="ar"/>
              </w:rPr>
              <w:t>jingyou</w:t>
            </w:r>
            <w:r>
              <w:rPr>
                <w:rFonts w:ascii="Times New Roman" w:hAnsi="Times New Roman" w:eastAsia="宋体" w:cs="Times New Roman"/>
                <w:kern w:val="0"/>
                <w:sz w:val="21"/>
                <w:szCs w:val="21"/>
                <w:shd w:val="clear" w:color="auto" w:fill="FFFFFF"/>
                <w:lang w:val="en-US" w:eastAsia="zh-CN" w:bidi="ar"/>
              </w:rPr>
              <w:t>@gzlab.ac.cn</w:t>
            </w:r>
            <w:r>
              <w:rPr>
                <w:rFonts w:ascii="Times New Roman" w:hAnsi="Times New Roman" w:eastAsia="宋体" w:cs="Times New Roman"/>
                <w:kern w:val="0"/>
                <w:sz w:val="21"/>
                <w:szCs w:val="21"/>
                <w:shd w:val="clear" w:color="auto" w:fill="FFFFFF"/>
                <w:lang w:val="en-US" w:eastAsia="zh-CN" w:bidi="ar"/>
              </w:rPr>
              <w:fldChar w:fldCharType="end"/>
            </w:r>
          </w:p>
          <w:p w14:paraId="7B5C9C91">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网站链接：https://www.gzlab.ac.cn/team/index_87.html</w:t>
            </w:r>
          </w:p>
        </w:tc>
      </w:tr>
      <w:tr w14:paraId="0178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2972" w:type="dxa"/>
            <w:tcBorders>
              <w:tl2br w:val="nil"/>
              <w:tr2bl w:val="nil"/>
            </w:tcBorders>
            <w:noWrap w:val="0"/>
            <w:vAlign w:val="center"/>
          </w:tcPr>
          <w:p w14:paraId="1A28ADB5">
            <w:pPr>
              <w:pStyle w:val="2"/>
              <w:snapToGrid w:val="0"/>
              <w:spacing w:before="0" w:beforeAutospacing="0" w:after="0" w:afterAutospacing="0"/>
              <w:jc w:val="center"/>
              <w:rPr>
                <w:rFonts w:hint="eastAsia" w:ascii="Arial" w:hAnsi="Arial" w:eastAsia="宋体" w:cs="Arial"/>
                <w:b/>
                <w:bCs/>
                <w:color w:val="B22626"/>
                <w:kern w:val="0"/>
                <w:sz w:val="32"/>
                <w:szCs w:val="21"/>
                <w:lang w:eastAsia="zh-CN"/>
              </w:rPr>
            </w:pPr>
            <w:r>
              <w:rPr>
                <w:rFonts w:hint="eastAsia" w:ascii="Arial" w:hAnsi="Arial" w:eastAsia="宋体" w:cs="Arial"/>
                <w:b/>
                <w:bCs/>
                <w:color w:val="B22626"/>
                <w:kern w:val="0"/>
                <w:sz w:val="32"/>
                <w:szCs w:val="21"/>
                <w:lang w:eastAsia="zh-CN"/>
              </w:rPr>
              <w:drawing>
                <wp:inline distT="0" distB="0" distL="114300" distR="114300">
                  <wp:extent cx="1714500" cy="2010410"/>
                  <wp:effectExtent l="0" t="0" r="0" b="8890"/>
                  <wp:docPr id="3" name="图片 5" descr="5ff9257822a5c67ac710da646cef1f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5ff9257822a5c67ac710da646cef1fbd"/>
                          <pic:cNvPicPr>
                            <a:picLocks noChangeAspect="1"/>
                          </pic:cNvPicPr>
                        </pic:nvPicPr>
                        <pic:blipFill>
                          <a:blip r:embed="rId10"/>
                          <a:stretch>
                            <a:fillRect/>
                          </a:stretch>
                        </pic:blipFill>
                        <pic:spPr>
                          <a:xfrm>
                            <a:off x="0" y="0"/>
                            <a:ext cx="1714500" cy="2010410"/>
                          </a:xfrm>
                          <a:prstGeom prst="rect">
                            <a:avLst/>
                          </a:prstGeom>
                          <a:noFill/>
                          <a:ln>
                            <a:noFill/>
                          </a:ln>
                        </pic:spPr>
                      </pic:pic>
                    </a:graphicData>
                  </a:graphic>
                </wp:inline>
              </w:drawing>
            </w:r>
          </w:p>
        </w:tc>
        <w:tc>
          <w:tcPr>
            <w:tcW w:w="6662" w:type="dxa"/>
            <w:tcBorders>
              <w:tl2br w:val="nil"/>
              <w:tr2bl w:val="nil"/>
            </w:tcBorders>
            <w:noWrap w:val="0"/>
            <w:vAlign w:val="top"/>
          </w:tcPr>
          <w:p w14:paraId="3DF52F25">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汪少伯，广州实验室基础研究部研究员，广州医科大学呼吸疾病全国重点实验室PI/特聘教授，广东省和广州市重大人才项目入选者（青年）。于2017年中国科学院大学武汉病毒研究所获博士学位，并在美国加州大学圣迭戈分校从事博士后研究。主要以高通量功能基因组学和单细胞转录组学等技术，从细胞、类器官、动物等多个层面探究与病毒宿主相互作用，揭示多种新颖的抗病毒宿主靶点，并进一步开发新型抗病毒策略。研究成果以第一作者（含共同）或通讯作者在Nature Microbiology, The EMBO Journal, PNAS, Nucleic Acids Research, Cell Reports,mBio, Emerging Microbes &amp; Infections, Journal of Virology等综合和专业期刊上发表11篇论文；以共同作者在Nature Communi cations, EMBO Reports, Journal of Medicinal Chemistry, Stem Cell Reports等专业期刊上发表SCI论文20篇，总引用超1600次（谷歌学术），H index为20。其中,寨卡病毒相关工作被同期Cell Stem Cell刊登评述文章推荐和高度评价；新冠相关工作被JAMA特别推荐和介绍；在抗病毒药物领域，获得授权国家发明专利3项。前期已与中国科学院大学、中山大学、华南理工大学等高校联培博士。</w:t>
            </w:r>
          </w:p>
          <w:p w14:paraId="088F2649">
            <w:pPr>
              <w:widowControl/>
              <w:shd w:val="clear" w:color="auto" w:fill="FFFFFF"/>
              <w:spacing w:line="280" w:lineRule="exact"/>
              <w:ind w:firstLine="422"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b/>
                <w:bCs/>
                <w:kern w:val="0"/>
                <w:sz w:val="21"/>
                <w:szCs w:val="21"/>
                <w:shd w:val="clear" w:color="auto" w:fill="FFFFFF"/>
                <w:lang w:val="en-US" w:eastAsia="zh-CN" w:bidi="ar"/>
              </w:rPr>
              <w:t>招生专业：基础医学（1001）</w:t>
            </w:r>
          </w:p>
          <w:p w14:paraId="507E5DD7">
            <w:pPr>
              <w:widowControl/>
              <w:shd w:val="clear" w:color="auto" w:fill="FFFFFF"/>
              <w:spacing w:line="280" w:lineRule="exact"/>
              <w:ind w:firstLine="420" w:firstLineChars="200"/>
              <w:rPr>
                <w:rFonts w:hint="eastAsia"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邮箱：</w:t>
            </w:r>
            <w:r>
              <w:rPr>
                <w:rFonts w:hint="eastAsia" w:ascii="Times New Roman" w:hAnsi="Times New Roman" w:eastAsia="宋体" w:cs="Times New Roman"/>
                <w:color w:val="auto"/>
                <w:kern w:val="0"/>
                <w:sz w:val="21"/>
                <w:szCs w:val="21"/>
                <w:u w:val="none"/>
                <w:shd w:val="clear" w:color="auto" w:fill="FFFFFF"/>
                <w:lang w:val="en-US" w:eastAsia="zh-CN" w:bidi="ar"/>
              </w:rPr>
              <w:t>wang_shaobo@gzlab.ac.cn</w:t>
            </w:r>
          </w:p>
          <w:p w14:paraId="4FDFB94D">
            <w:pPr>
              <w:widowControl/>
              <w:shd w:val="clear" w:color="auto" w:fill="FFFFFF"/>
              <w:spacing w:line="280" w:lineRule="exact"/>
              <w:ind w:firstLine="420" w:firstLineChars="200"/>
              <w:rPr>
                <w:rFonts w:hint="default" w:ascii="Times New Roman" w:hAnsi="Times New Roman" w:eastAsia="宋体" w:cs="Times New Roman"/>
                <w:kern w:val="0"/>
                <w:sz w:val="21"/>
                <w:szCs w:val="21"/>
                <w:shd w:val="clear" w:color="auto" w:fill="FFFFFF"/>
                <w:lang w:val="en-US" w:eastAsia="zh-CN" w:bidi="ar"/>
              </w:rPr>
            </w:pPr>
            <w:r>
              <w:rPr>
                <w:rFonts w:hint="eastAsia" w:ascii="Times New Roman" w:hAnsi="Times New Roman" w:eastAsia="宋体" w:cs="Times New Roman"/>
                <w:kern w:val="0"/>
                <w:sz w:val="21"/>
                <w:szCs w:val="21"/>
                <w:shd w:val="clear" w:color="auto" w:fill="FFFFFF"/>
                <w:lang w:val="en-US" w:eastAsia="zh-CN" w:bidi="ar"/>
              </w:rPr>
              <w:t>网站链接：https://www.gzlab.ac.cn/team/index_111.html</w:t>
            </w:r>
          </w:p>
        </w:tc>
      </w:tr>
    </w:tbl>
    <w:p w14:paraId="5F3462D1">
      <w:pPr>
        <w:rPr>
          <w:rFonts w:hint="default"/>
          <w:lang w:val="en-US" w:eastAsia="zh-CN"/>
        </w:rPr>
      </w:pPr>
    </w:p>
    <w:p w14:paraId="593BCC3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体小标宋">
    <w:altName w:val="宋体"/>
    <w:panose1 w:val="00000000000000000000"/>
    <w:charset w:val="00"/>
    <w:family w:val="auto"/>
    <w:pitch w:val="default"/>
    <w:sig w:usb0="00000000" w:usb1="00000000" w:usb2="00000000"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1A6D6B"/>
    <w:rsid w:val="421A6D6B"/>
    <w:rsid w:val="5ABC71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4">
    <w:name w:val="Table Grid"/>
    <w:basedOn w:val="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22"/>
    <w:rPr>
      <w:b/>
      <w:bCs/>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0</TotalTime>
  <ScaleCrop>false</ScaleCrop>
  <LinksUpToDate>false</LinksUpToDate>
  <CharactersWithSpaces>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2026-04-03T02:52:00Z</dcterms:created>
  <dc:creator>研招办胡良斌</dc:creator>
  <cp:lastModifiedBy>研招办胡良斌</cp:lastModifiedBy>
  <dcterms:modified xsi:type="dcterms:W3CDTF">2026-04-03T02:56:51Z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0E94066469954D589218CB48EB40F2CA_11</vt:lpwstr>
  </property>
  <property fmtid="{D5CDD505-2E9C-101B-9397-08002B2CF9AE}" pid="4" name="KSOTemplateDocerSaveRecord">
    <vt:lpwstr>eyJoZGlkIjoiMGEyZDFlYTAxOTViMzg3YzcyY2ZiMjQwNzA0NTEwMGEiLCJ1c2VySWQiOiI0MDYxMTA5MTAifQ==</vt:lpwstr>
  </property>
</Properties>
</file>