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6B457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cs="Tahoma" w:asciiTheme="majorEastAsia" w:hAnsiTheme="majorEastAsia" w:eastAsiaTheme="majorEastAsia"/>
          <w:b/>
          <w:bCs/>
          <w:kern w:val="36"/>
          <w:sz w:val="24"/>
          <w:szCs w:val="24"/>
          <w:lang w:eastAsia="zh-CN"/>
        </w:rPr>
      </w:pPr>
      <w:r>
        <w:rPr>
          <w:rFonts w:cs="Tahoma" w:asciiTheme="majorEastAsia" w:hAnsiTheme="majorEastAsia" w:eastAsiaTheme="majorEastAsia"/>
          <w:b/>
          <w:bCs/>
          <w:kern w:val="36"/>
          <w:sz w:val="24"/>
          <w:szCs w:val="24"/>
        </w:rPr>
        <w:t>关于</w:t>
      </w:r>
      <w:r>
        <w:rPr>
          <w:rFonts w:hint="eastAsia" w:cs="Tahoma" w:asciiTheme="majorEastAsia" w:hAnsiTheme="majorEastAsia" w:eastAsiaTheme="majorEastAsia"/>
          <w:b/>
          <w:bCs/>
          <w:kern w:val="36"/>
          <w:sz w:val="24"/>
          <w:szCs w:val="24"/>
          <w:lang w:eastAsia="zh-CN"/>
        </w:rPr>
        <w:t>天津中医药大学</w:t>
      </w:r>
      <w:r>
        <w:rPr>
          <w:rFonts w:cs="Tahoma" w:asciiTheme="majorEastAsia" w:hAnsiTheme="majorEastAsia" w:eastAsiaTheme="majorEastAsia"/>
          <w:b/>
          <w:bCs/>
          <w:kern w:val="36"/>
          <w:sz w:val="24"/>
          <w:szCs w:val="24"/>
        </w:rPr>
        <w:t>20</w:t>
      </w:r>
      <w:r>
        <w:rPr>
          <w:rFonts w:hint="eastAsia" w:cs="Tahoma" w:asciiTheme="majorEastAsia" w:hAnsiTheme="majorEastAsia" w:eastAsiaTheme="majorEastAsia"/>
          <w:b/>
          <w:bCs/>
          <w:kern w:val="36"/>
          <w:sz w:val="24"/>
          <w:szCs w:val="24"/>
          <w:lang w:val="en-US" w:eastAsia="zh-CN"/>
        </w:rPr>
        <w:t>26</w:t>
      </w:r>
      <w:r>
        <w:rPr>
          <w:rFonts w:hint="eastAsia" w:cs="Tahoma" w:asciiTheme="majorEastAsia" w:hAnsiTheme="majorEastAsia" w:eastAsiaTheme="majorEastAsia"/>
          <w:b/>
          <w:bCs/>
          <w:kern w:val="36"/>
          <w:sz w:val="24"/>
          <w:szCs w:val="24"/>
        </w:rPr>
        <w:t>年</w:t>
      </w:r>
      <w:r>
        <w:rPr>
          <w:rFonts w:hint="eastAsia" w:cs="Tahoma" w:asciiTheme="majorEastAsia" w:hAnsiTheme="majorEastAsia" w:eastAsiaTheme="majorEastAsia"/>
          <w:b/>
          <w:bCs/>
          <w:kern w:val="36"/>
          <w:sz w:val="24"/>
          <w:szCs w:val="24"/>
          <w:lang w:eastAsia="zh-CN"/>
        </w:rPr>
        <w:t>第</w:t>
      </w:r>
      <w:r>
        <w:rPr>
          <w:rFonts w:hint="eastAsia" w:cs="Tahoma" w:asciiTheme="majorEastAsia" w:hAnsiTheme="majorEastAsia" w:eastAsiaTheme="majorEastAsia"/>
          <w:b/>
          <w:bCs/>
          <w:kern w:val="36"/>
          <w:sz w:val="24"/>
          <w:szCs w:val="24"/>
          <w:lang w:val="en-US" w:eastAsia="zh-CN"/>
        </w:rPr>
        <w:t>二批次中药学</w:t>
      </w:r>
      <w:r>
        <w:rPr>
          <w:rFonts w:cs="Tahoma" w:asciiTheme="majorEastAsia" w:hAnsiTheme="majorEastAsia" w:eastAsiaTheme="majorEastAsia"/>
          <w:b/>
          <w:bCs/>
          <w:kern w:val="36"/>
          <w:sz w:val="24"/>
          <w:szCs w:val="24"/>
        </w:rPr>
        <w:t>硕博连读选拔工作的通知</w:t>
      </w:r>
    </w:p>
    <w:p w14:paraId="51C469DE">
      <w:pPr>
        <w:adjustRightInd w:val="0"/>
        <w:snapToGrid w:val="0"/>
        <w:spacing w:line="360" w:lineRule="auto"/>
        <w:ind w:firstLine="480" w:firstLineChars="200"/>
        <w:rPr>
          <w:rFonts w:cs="宋体" w:asciiTheme="majorEastAsia" w:hAnsiTheme="majorEastAsia" w:eastAsiaTheme="majorEastAsia"/>
          <w:bCs/>
          <w:kern w:val="0"/>
          <w:sz w:val="24"/>
          <w:szCs w:val="24"/>
        </w:rPr>
      </w:pPr>
      <w:r>
        <w:rPr>
          <w:rFonts w:cs="Tahoma" w:asciiTheme="majorEastAsia" w:hAnsiTheme="majorEastAsia" w:eastAsiaTheme="majorEastAsia"/>
          <w:kern w:val="0"/>
          <w:sz w:val="24"/>
          <w:szCs w:val="24"/>
        </w:rPr>
        <w:t>按照《天津</w:t>
      </w:r>
      <w:r>
        <w:rPr>
          <w:rFonts w:hint="eastAsia" w:cs="Tahoma" w:asciiTheme="majorEastAsia" w:hAnsiTheme="majorEastAsia" w:eastAsiaTheme="majorEastAsia"/>
          <w:kern w:val="0"/>
          <w:sz w:val="24"/>
          <w:szCs w:val="24"/>
        </w:rPr>
        <w:t>中医药</w:t>
      </w:r>
      <w:r>
        <w:rPr>
          <w:rFonts w:cs="Tahoma" w:asciiTheme="majorEastAsia" w:hAnsiTheme="majorEastAsia" w:eastAsiaTheme="majorEastAsia"/>
          <w:kern w:val="0"/>
          <w:sz w:val="24"/>
          <w:szCs w:val="24"/>
        </w:rPr>
        <w:t>大学研究生硕博连读实施办法》</w:t>
      </w:r>
      <w:r>
        <w:rPr>
          <w:rFonts w:hint="eastAsia" w:cs="Tahoma" w:asciiTheme="majorEastAsia" w:hAnsiTheme="majorEastAsia" w:eastAsiaTheme="majorEastAsia"/>
          <w:kern w:val="0"/>
          <w:sz w:val="24"/>
          <w:szCs w:val="24"/>
          <w:lang w:eastAsia="zh-CN"/>
        </w:rPr>
        <w:t>（见附件）规定，现进行第二批次中药学硕博连读选拔工作。</w:t>
      </w:r>
    </w:p>
    <w:p w14:paraId="5953DFD3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hint="eastAsia" w:cs="Tahoma" w:asciiTheme="majorEastAsia" w:hAnsiTheme="majorEastAsia" w:eastAsiaTheme="majorEastAsia"/>
          <w:b/>
          <w:bCs/>
          <w:kern w:val="0"/>
          <w:sz w:val="24"/>
          <w:szCs w:val="24"/>
          <w:highlight w:val="none"/>
        </w:rPr>
      </w:pPr>
      <w:r>
        <w:rPr>
          <w:rFonts w:hint="eastAsia" w:cs="Tahoma" w:asciiTheme="majorEastAsia" w:hAnsiTheme="majorEastAsia" w:eastAsiaTheme="majorEastAsia"/>
          <w:kern w:val="0"/>
          <w:sz w:val="24"/>
          <w:szCs w:val="24"/>
          <w:lang w:eastAsia="zh-CN"/>
        </w:rPr>
        <w:t>拟参加选拔</w:t>
      </w:r>
      <w:r>
        <w:rPr>
          <w:rFonts w:hint="eastAsia" w:asciiTheme="majorEastAsia" w:hAnsiTheme="majorEastAsia" w:eastAsiaTheme="majorEastAsia"/>
          <w:sz w:val="24"/>
          <w:szCs w:val="24"/>
        </w:rPr>
        <w:t>20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24</w:t>
      </w:r>
      <w:r>
        <w:rPr>
          <w:rFonts w:hint="eastAsia" w:asciiTheme="majorEastAsia" w:hAnsiTheme="majorEastAsia" w:eastAsiaTheme="majorEastAsia"/>
          <w:sz w:val="24"/>
          <w:szCs w:val="24"/>
        </w:rPr>
        <w:t>级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非定向</w:t>
      </w:r>
      <w:r>
        <w:rPr>
          <w:rFonts w:hint="eastAsia" w:asciiTheme="majorEastAsia" w:hAnsiTheme="majorEastAsia" w:eastAsiaTheme="majorEastAsia"/>
          <w:sz w:val="24"/>
          <w:szCs w:val="24"/>
        </w:rPr>
        <w:t>学术型硕士研究生</w:t>
      </w:r>
      <w:r>
        <w:rPr>
          <w:rFonts w:hint="eastAsia" w:cs="Tahoma" w:asciiTheme="majorEastAsia" w:hAnsiTheme="majorEastAsia" w:eastAsiaTheme="majorEastAsia"/>
          <w:kern w:val="0"/>
          <w:sz w:val="24"/>
          <w:szCs w:val="24"/>
          <w:lang w:eastAsia="zh-CN"/>
        </w:rPr>
        <w:t>按要求提交材料至研究生院招生科（研究生院新楼</w:t>
      </w:r>
      <w:r>
        <w:rPr>
          <w:rFonts w:hint="eastAsia" w:cs="Tahoma" w:asciiTheme="majorEastAsia" w:hAnsiTheme="majorEastAsia" w:eastAsiaTheme="majorEastAsia"/>
          <w:kern w:val="0"/>
          <w:sz w:val="24"/>
          <w:szCs w:val="24"/>
          <w:lang w:val="en-US" w:eastAsia="zh-CN"/>
        </w:rPr>
        <w:t>205</w:t>
      </w:r>
      <w:r>
        <w:rPr>
          <w:rFonts w:hint="eastAsia" w:cs="Tahoma" w:asciiTheme="majorEastAsia" w:hAnsiTheme="majorEastAsia" w:eastAsiaTheme="majorEastAsia"/>
          <w:kern w:val="0"/>
          <w:sz w:val="24"/>
          <w:szCs w:val="24"/>
          <w:lang w:eastAsia="zh-CN"/>
        </w:rPr>
        <w:t>），截止至</w:t>
      </w:r>
      <w:r>
        <w:rPr>
          <w:rFonts w:cs="Tahoma" w:asciiTheme="majorEastAsia" w:hAnsiTheme="majorEastAsia" w:eastAsiaTheme="majorEastAsia"/>
          <w:kern w:val="0"/>
          <w:sz w:val="24"/>
          <w:szCs w:val="24"/>
        </w:rPr>
        <w:t>20</w:t>
      </w:r>
      <w:r>
        <w:rPr>
          <w:rFonts w:hint="eastAsia" w:cs="Tahoma" w:asciiTheme="majorEastAsia" w:hAnsiTheme="majorEastAsia" w:eastAsiaTheme="majorEastAsia"/>
          <w:kern w:val="0"/>
          <w:sz w:val="24"/>
          <w:szCs w:val="24"/>
          <w:lang w:val="en-US" w:eastAsia="zh-CN"/>
        </w:rPr>
        <w:t>26</w:t>
      </w:r>
      <w:r>
        <w:rPr>
          <w:rFonts w:cs="Tahoma" w:asciiTheme="majorEastAsia" w:hAnsiTheme="majorEastAsia" w:eastAsiaTheme="majorEastAsia"/>
          <w:kern w:val="0"/>
          <w:sz w:val="24"/>
          <w:szCs w:val="24"/>
        </w:rPr>
        <w:t>年</w:t>
      </w:r>
      <w:r>
        <w:rPr>
          <w:rFonts w:hint="eastAsia" w:cs="Tahoma" w:asciiTheme="majorEastAsia" w:hAnsiTheme="majorEastAsia" w:eastAsiaTheme="majorEastAsia"/>
          <w:kern w:val="0"/>
          <w:sz w:val="24"/>
          <w:szCs w:val="24"/>
          <w:highlight w:val="none"/>
          <w:lang w:val="en-US" w:eastAsia="zh-CN"/>
        </w:rPr>
        <w:t>6</w:t>
      </w:r>
      <w:r>
        <w:rPr>
          <w:rFonts w:cs="Tahoma" w:asciiTheme="majorEastAsia" w:hAnsiTheme="majorEastAsia" w:eastAsiaTheme="majorEastAsia"/>
          <w:kern w:val="0"/>
          <w:sz w:val="24"/>
          <w:szCs w:val="24"/>
          <w:highlight w:val="none"/>
        </w:rPr>
        <w:t>月</w:t>
      </w:r>
      <w:r>
        <w:rPr>
          <w:rFonts w:hint="eastAsia" w:cs="Tahoma" w:asciiTheme="majorEastAsia" w:hAnsiTheme="majorEastAsia" w:eastAsiaTheme="majorEastAsia"/>
          <w:kern w:val="0"/>
          <w:sz w:val="24"/>
          <w:szCs w:val="24"/>
          <w:highlight w:val="none"/>
          <w:lang w:val="en-US" w:eastAsia="zh-CN"/>
        </w:rPr>
        <w:t>17</w:t>
      </w:r>
      <w:r>
        <w:rPr>
          <w:rFonts w:cs="Tahoma" w:asciiTheme="majorEastAsia" w:hAnsiTheme="majorEastAsia" w:eastAsiaTheme="majorEastAsia"/>
          <w:kern w:val="0"/>
          <w:sz w:val="24"/>
          <w:szCs w:val="24"/>
          <w:highlight w:val="none"/>
        </w:rPr>
        <w:t>日</w:t>
      </w:r>
      <w:r>
        <w:rPr>
          <w:rFonts w:hint="eastAsia" w:cs="Tahoma" w:asciiTheme="majorEastAsia" w:hAnsiTheme="majorEastAsia" w:eastAsiaTheme="majorEastAsia"/>
          <w:kern w:val="0"/>
          <w:sz w:val="24"/>
          <w:szCs w:val="24"/>
          <w:highlight w:val="none"/>
          <w:lang w:eastAsia="zh-CN"/>
        </w:rPr>
        <w:t>（星期</w:t>
      </w:r>
      <w:r>
        <w:rPr>
          <w:rFonts w:hint="eastAsia" w:cs="Tahoma" w:asciiTheme="majorEastAsia" w:hAnsiTheme="majorEastAsia" w:eastAsiaTheme="majorEastAsia"/>
          <w:kern w:val="0"/>
          <w:sz w:val="24"/>
          <w:szCs w:val="24"/>
          <w:highlight w:val="none"/>
          <w:lang w:val="en-US" w:eastAsia="zh-CN"/>
        </w:rPr>
        <w:t>三）</w:t>
      </w:r>
      <w:r>
        <w:rPr>
          <w:rFonts w:hint="eastAsia" w:cs="Tahoma" w:asciiTheme="majorEastAsia" w:hAnsiTheme="majorEastAsia" w:eastAsiaTheme="majorEastAsia"/>
          <w:kern w:val="0"/>
          <w:sz w:val="24"/>
          <w:szCs w:val="24"/>
          <w:highlight w:val="none"/>
          <w:lang w:eastAsia="zh-CN"/>
        </w:rPr>
        <w:t>上午</w:t>
      </w:r>
      <w:r>
        <w:rPr>
          <w:rFonts w:hint="eastAsia" w:cs="Tahoma" w:asciiTheme="majorEastAsia" w:hAnsiTheme="majorEastAsia" w:eastAsiaTheme="majorEastAsia"/>
          <w:kern w:val="0"/>
          <w:sz w:val="24"/>
          <w:szCs w:val="24"/>
          <w:highlight w:val="none"/>
          <w:lang w:val="en-US" w:eastAsia="zh-CN"/>
        </w:rPr>
        <w:t>十点</w:t>
      </w:r>
      <w:r>
        <w:rPr>
          <w:rFonts w:cs="Tahoma" w:asciiTheme="majorEastAsia" w:hAnsiTheme="majorEastAsia" w:eastAsiaTheme="majorEastAsia"/>
          <w:bCs/>
          <w:kern w:val="0"/>
          <w:sz w:val="24"/>
          <w:szCs w:val="24"/>
          <w:highlight w:val="none"/>
        </w:rPr>
        <w:t>。</w:t>
      </w:r>
    </w:p>
    <w:p w14:paraId="3639017A">
      <w:pPr>
        <w:widowControl/>
        <w:shd w:val="clear" w:color="auto" w:fill="FFFFFF"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highlight w:val="none"/>
          <w:lang w:val="en-US" w:eastAsia="zh-CN"/>
        </w:rPr>
        <w:t>备注：</w:t>
      </w:r>
      <w:bookmarkStart w:id="0" w:name="_GoBack"/>
      <w:bookmarkEnd w:id="0"/>
    </w:p>
    <w:p w14:paraId="72C452EA">
      <w:pPr>
        <w:widowControl/>
        <w:numPr>
          <w:ilvl w:val="0"/>
          <w:numId w:val="0"/>
        </w:numPr>
        <w:shd w:val="clear" w:color="auto" w:fill="FFFFFF"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inorBidi"/>
          <w:kern w:val="2"/>
          <w:sz w:val="24"/>
          <w:szCs w:val="24"/>
          <w:highlight w:val="none"/>
          <w:lang w:val="en-US" w:eastAsia="zh-CN" w:bidi="ar-SA"/>
        </w:rPr>
        <w:t>1.</w:t>
      </w:r>
      <w:r>
        <w:rPr>
          <w:rFonts w:hint="eastAsia" w:asciiTheme="majorEastAsia" w:hAnsiTheme="majorEastAsia" w:eastAsiaTheme="majorEastAsia"/>
          <w:sz w:val="24"/>
          <w:szCs w:val="24"/>
          <w:highlight w:val="none"/>
          <w:lang w:val="en-US" w:eastAsia="zh-CN"/>
        </w:rPr>
        <w:t>研究生课程成绩以教务系统信息为准，报名后由研究生院统一审核申请材料，报名者不需提供课程成绩相关材料。</w:t>
      </w:r>
    </w:p>
    <w:p w14:paraId="43098E61">
      <w:pPr>
        <w:widowControl/>
        <w:numPr>
          <w:ilvl w:val="0"/>
          <w:numId w:val="0"/>
        </w:numPr>
        <w:shd w:val="clear" w:color="auto" w:fill="FFFFFF"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highlight w:val="none"/>
          <w:lang w:val="en-US" w:eastAsia="zh-CN"/>
        </w:rPr>
        <w:t>2.此次仅限报考中药学学术型专业（100800）。</w:t>
      </w:r>
    </w:p>
    <w:p w14:paraId="428C7D7F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hint="eastAsia" w:cs="Tahoma" w:asciiTheme="majorEastAsia" w:hAnsiTheme="majorEastAsia" w:eastAsiaTheme="majorEastAsia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cs="Tahoma" w:asciiTheme="majorEastAsia" w:hAnsiTheme="majorEastAsia" w:eastAsiaTheme="majorEastAsia"/>
          <w:kern w:val="0"/>
          <w:sz w:val="24"/>
          <w:szCs w:val="24"/>
          <w:highlight w:val="none"/>
          <w:lang w:val="en-US" w:eastAsia="zh-CN"/>
        </w:rPr>
        <w:t>3.此批次博导名单见附件。</w:t>
      </w:r>
    </w:p>
    <w:p w14:paraId="4A7AD8B5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hint="eastAsia" w:cs="Tahoma" w:asciiTheme="majorEastAsia" w:hAnsiTheme="majorEastAsia" w:eastAsiaTheme="majorEastAsia"/>
          <w:kern w:val="0"/>
          <w:sz w:val="24"/>
          <w:szCs w:val="24"/>
          <w:highlight w:val="none"/>
          <w:lang w:eastAsia="zh-CN"/>
        </w:rPr>
      </w:pPr>
      <w:r>
        <w:rPr>
          <w:rFonts w:hint="eastAsia" w:cs="Tahoma" w:asciiTheme="majorEastAsia" w:hAnsiTheme="majorEastAsia" w:eastAsiaTheme="majorEastAsia"/>
          <w:kern w:val="0"/>
          <w:sz w:val="24"/>
          <w:szCs w:val="24"/>
          <w:highlight w:val="none"/>
          <w:lang w:eastAsia="zh-CN"/>
        </w:rPr>
        <w:t>联系部门：研究生院招生科</w:t>
      </w:r>
    </w:p>
    <w:p w14:paraId="605BFE56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hint="eastAsia" w:cs="Tahoma" w:asciiTheme="majorEastAsia" w:hAnsiTheme="majorEastAsia" w:eastAsiaTheme="majorEastAsia"/>
          <w:kern w:val="0"/>
          <w:sz w:val="24"/>
          <w:szCs w:val="24"/>
          <w:lang w:eastAsia="zh-CN"/>
        </w:rPr>
      </w:pPr>
      <w:r>
        <w:rPr>
          <w:rFonts w:hint="eastAsia" w:cs="Tahoma" w:asciiTheme="majorEastAsia" w:hAnsiTheme="majorEastAsia" w:eastAsiaTheme="majorEastAsia"/>
          <w:kern w:val="0"/>
          <w:sz w:val="24"/>
          <w:szCs w:val="24"/>
          <w:lang w:eastAsia="zh-CN"/>
        </w:rPr>
        <w:t>联系人：陈老师 张老师</w:t>
      </w:r>
    </w:p>
    <w:p w14:paraId="29DE2E9E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hint="eastAsia" w:cs="Tahoma" w:asciiTheme="majorEastAsia" w:hAnsiTheme="majorEastAsia" w:eastAsiaTheme="majorEastAsia"/>
          <w:kern w:val="0"/>
          <w:sz w:val="24"/>
          <w:szCs w:val="24"/>
          <w:lang w:eastAsia="zh-CN"/>
        </w:rPr>
      </w:pPr>
      <w:r>
        <w:rPr>
          <w:rFonts w:hint="eastAsia" w:cs="Tahoma" w:asciiTheme="majorEastAsia" w:hAnsiTheme="majorEastAsia" w:eastAsiaTheme="majorEastAsia"/>
          <w:kern w:val="0"/>
          <w:sz w:val="24"/>
          <w:szCs w:val="24"/>
          <w:lang w:eastAsia="zh-CN"/>
        </w:rPr>
        <w:t>联系电话：（022）59596191</w:t>
      </w:r>
    </w:p>
    <w:p w14:paraId="40489EC2">
      <w:pPr>
        <w:widowControl/>
        <w:shd w:val="clear" w:color="auto" w:fill="FFFFFF"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</w:pPr>
    </w:p>
    <w:p w14:paraId="46D3F8BA">
      <w:pPr>
        <w:widowControl/>
        <w:shd w:val="clear" w:color="auto" w:fill="FFFFFF"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0ZmZlYzYxMjgzZjA5NTA4M2JmMTI3ODliYWQxODgifQ=="/>
  </w:docVars>
  <w:rsids>
    <w:rsidRoot w:val="00A23456"/>
    <w:rsid w:val="00016BFF"/>
    <w:rsid w:val="00180136"/>
    <w:rsid w:val="001966F4"/>
    <w:rsid w:val="00264B60"/>
    <w:rsid w:val="0031485B"/>
    <w:rsid w:val="00424B6E"/>
    <w:rsid w:val="004E4DBD"/>
    <w:rsid w:val="005F5FC3"/>
    <w:rsid w:val="006154D1"/>
    <w:rsid w:val="0064622F"/>
    <w:rsid w:val="00690E5B"/>
    <w:rsid w:val="006C1110"/>
    <w:rsid w:val="00737DE4"/>
    <w:rsid w:val="00742813"/>
    <w:rsid w:val="0092011B"/>
    <w:rsid w:val="00952BE0"/>
    <w:rsid w:val="009E7861"/>
    <w:rsid w:val="00A23456"/>
    <w:rsid w:val="00AA4F59"/>
    <w:rsid w:val="00D0652B"/>
    <w:rsid w:val="00D321F6"/>
    <w:rsid w:val="00D4711C"/>
    <w:rsid w:val="00DF2D8B"/>
    <w:rsid w:val="00EA016A"/>
    <w:rsid w:val="012C2869"/>
    <w:rsid w:val="028440C8"/>
    <w:rsid w:val="039773CF"/>
    <w:rsid w:val="03D33559"/>
    <w:rsid w:val="04926F71"/>
    <w:rsid w:val="05C0366A"/>
    <w:rsid w:val="062A4F87"/>
    <w:rsid w:val="071D4945"/>
    <w:rsid w:val="072D11D3"/>
    <w:rsid w:val="083508C6"/>
    <w:rsid w:val="086253A9"/>
    <w:rsid w:val="09F71624"/>
    <w:rsid w:val="0A40121D"/>
    <w:rsid w:val="0A4958A2"/>
    <w:rsid w:val="0A593740"/>
    <w:rsid w:val="0AD47268"/>
    <w:rsid w:val="0ADE3074"/>
    <w:rsid w:val="0C676F35"/>
    <w:rsid w:val="0D02255E"/>
    <w:rsid w:val="0D162709"/>
    <w:rsid w:val="0D501341"/>
    <w:rsid w:val="0D5D4748"/>
    <w:rsid w:val="0DDD34A4"/>
    <w:rsid w:val="0F830C70"/>
    <w:rsid w:val="11AD363C"/>
    <w:rsid w:val="12934F64"/>
    <w:rsid w:val="13873B07"/>
    <w:rsid w:val="1403123F"/>
    <w:rsid w:val="152214B5"/>
    <w:rsid w:val="15902395"/>
    <w:rsid w:val="164E6A70"/>
    <w:rsid w:val="16C17241"/>
    <w:rsid w:val="17DF02C7"/>
    <w:rsid w:val="18371EB1"/>
    <w:rsid w:val="188E3A9B"/>
    <w:rsid w:val="1A9B63EB"/>
    <w:rsid w:val="1B241261"/>
    <w:rsid w:val="1B2C7620"/>
    <w:rsid w:val="1B972C67"/>
    <w:rsid w:val="1BF419CC"/>
    <w:rsid w:val="1D5915B5"/>
    <w:rsid w:val="1DE81558"/>
    <w:rsid w:val="1EBC5316"/>
    <w:rsid w:val="1F9051E0"/>
    <w:rsid w:val="201360F2"/>
    <w:rsid w:val="20FD17BE"/>
    <w:rsid w:val="22833F45"/>
    <w:rsid w:val="237E6734"/>
    <w:rsid w:val="238166D6"/>
    <w:rsid w:val="247F74FE"/>
    <w:rsid w:val="25BF5294"/>
    <w:rsid w:val="26D03B7D"/>
    <w:rsid w:val="274C5997"/>
    <w:rsid w:val="275573F2"/>
    <w:rsid w:val="28321D4D"/>
    <w:rsid w:val="285C326E"/>
    <w:rsid w:val="29930F11"/>
    <w:rsid w:val="2AC7317E"/>
    <w:rsid w:val="2B98280F"/>
    <w:rsid w:val="2D050128"/>
    <w:rsid w:val="2F5D3693"/>
    <w:rsid w:val="308C2216"/>
    <w:rsid w:val="30C10654"/>
    <w:rsid w:val="31B9703B"/>
    <w:rsid w:val="32193B70"/>
    <w:rsid w:val="326C0551"/>
    <w:rsid w:val="34757B91"/>
    <w:rsid w:val="34B54432"/>
    <w:rsid w:val="379A346B"/>
    <w:rsid w:val="389D5B51"/>
    <w:rsid w:val="395145E3"/>
    <w:rsid w:val="39B017E4"/>
    <w:rsid w:val="3B024532"/>
    <w:rsid w:val="3B365BA1"/>
    <w:rsid w:val="3B500DE0"/>
    <w:rsid w:val="3BE77338"/>
    <w:rsid w:val="3C9B524D"/>
    <w:rsid w:val="3CE82ECA"/>
    <w:rsid w:val="3F5E56C6"/>
    <w:rsid w:val="409F2083"/>
    <w:rsid w:val="4143558C"/>
    <w:rsid w:val="43C96D37"/>
    <w:rsid w:val="45763769"/>
    <w:rsid w:val="465E45CD"/>
    <w:rsid w:val="46C617E0"/>
    <w:rsid w:val="48D16F09"/>
    <w:rsid w:val="48F50768"/>
    <w:rsid w:val="4ACE1952"/>
    <w:rsid w:val="4BFB6776"/>
    <w:rsid w:val="4D642E6A"/>
    <w:rsid w:val="4D6E107E"/>
    <w:rsid w:val="4E915063"/>
    <w:rsid w:val="4F856D64"/>
    <w:rsid w:val="51DD247A"/>
    <w:rsid w:val="5218098C"/>
    <w:rsid w:val="53153F02"/>
    <w:rsid w:val="534A6AF6"/>
    <w:rsid w:val="53A56FC8"/>
    <w:rsid w:val="53D2612A"/>
    <w:rsid w:val="54407500"/>
    <w:rsid w:val="55144E24"/>
    <w:rsid w:val="56741B63"/>
    <w:rsid w:val="573529EB"/>
    <w:rsid w:val="5A3B68D8"/>
    <w:rsid w:val="5BE514AA"/>
    <w:rsid w:val="5C34538D"/>
    <w:rsid w:val="5CC90DB8"/>
    <w:rsid w:val="5CD32CF5"/>
    <w:rsid w:val="5DFE4A94"/>
    <w:rsid w:val="5E6A14A2"/>
    <w:rsid w:val="5F0E6369"/>
    <w:rsid w:val="5F786396"/>
    <w:rsid w:val="618B5A4F"/>
    <w:rsid w:val="619A0388"/>
    <w:rsid w:val="647F4D8D"/>
    <w:rsid w:val="649317EA"/>
    <w:rsid w:val="657D1B52"/>
    <w:rsid w:val="673F17B5"/>
    <w:rsid w:val="677B47B7"/>
    <w:rsid w:val="6CD75F48"/>
    <w:rsid w:val="6D0405CC"/>
    <w:rsid w:val="6EBD5150"/>
    <w:rsid w:val="6F4656AB"/>
    <w:rsid w:val="6FF869A5"/>
    <w:rsid w:val="71107458"/>
    <w:rsid w:val="729345B2"/>
    <w:rsid w:val="732E26DE"/>
    <w:rsid w:val="73734595"/>
    <w:rsid w:val="73A412DF"/>
    <w:rsid w:val="73C04328"/>
    <w:rsid w:val="73F253DF"/>
    <w:rsid w:val="74064F6E"/>
    <w:rsid w:val="742B4CD5"/>
    <w:rsid w:val="746740F9"/>
    <w:rsid w:val="74AA048A"/>
    <w:rsid w:val="763149BF"/>
    <w:rsid w:val="763C5A18"/>
    <w:rsid w:val="768F0ADA"/>
    <w:rsid w:val="76BD4BFF"/>
    <w:rsid w:val="7726029C"/>
    <w:rsid w:val="78283135"/>
    <w:rsid w:val="7949486E"/>
    <w:rsid w:val="7A564645"/>
    <w:rsid w:val="7A7F406B"/>
    <w:rsid w:val="7B0A3A31"/>
    <w:rsid w:val="7C1F52BA"/>
    <w:rsid w:val="7C9712F4"/>
    <w:rsid w:val="7CEF1D89"/>
    <w:rsid w:val="7D40373A"/>
    <w:rsid w:val="7D821FA4"/>
    <w:rsid w:val="7E514215"/>
    <w:rsid w:val="7E92005A"/>
    <w:rsid w:val="7F1D466B"/>
    <w:rsid w:val="7FBE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4">
    <w:name w:val="postmet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5">
    <w:name w:val="publisher"/>
    <w:basedOn w:val="8"/>
    <w:qFormat/>
    <w:uiPriority w:val="0"/>
  </w:style>
  <w:style w:type="character" w:customStyle="1" w:styleId="16">
    <w:name w:val="posttime"/>
    <w:basedOn w:val="8"/>
    <w:qFormat/>
    <w:uiPriority w:val="0"/>
  </w:style>
  <w:style w:type="character" w:customStyle="1" w:styleId="17">
    <w:name w:val="views"/>
    <w:basedOn w:val="8"/>
    <w:qFormat/>
    <w:uiPriority w:val="0"/>
  </w:style>
  <w:style w:type="character" w:customStyle="1" w:styleId="18">
    <w:name w:val="apple-converted-space"/>
    <w:basedOn w:val="8"/>
    <w:qFormat/>
    <w:uiPriority w:val="0"/>
  </w:style>
  <w:style w:type="character" w:customStyle="1" w:styleId="19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256</Words>
  <Characters>285</Characters>
  <Lines>6</Lines>
  <Paragraphs>1</Paragraphs>
  <TotalTime>1</TotalTime>
  <ScaleCrop>false</ScaleCrop>
  <LinksUpToDate>false</LinksUpToDate>
  <CharactersWithSpaces>286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2017-04-20T03:56:00Z</dcterms:created>
  <dc:creator>lenovo</dc:creator>
  <cp:lastModifiedBy>张鹏</cp:lastModifiedBy>
  <dcterms:modified xsi:type="dcterms:W3CDTF">2026-06-16T02:12:21Z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82EB829A77CE4D059396DD64D30E5054_13</vt:lpwstr>
  </property>
  <property fmtid="{D5CDD505-2E9C-101B-9397-08002B2CF9AE}" pid="4" name="KSOTemplateDocerSaveRecord">
    <vt:lpwstr>eyJoZGlkIjoiY2ZjNzIxZmMwYjZiMWU0NmE5NzA0NGVmNDM2NTdkMmYiLCJ1c2VySWQiOiIxNjg4NTM3MTM1In0=</vt:lpwstr>
  </property>
</Properties>
</file>