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D925" w14:textId="77777777" w:rsidR="00E3323E" w:rsidRDefault="00E3323E">
      <w:pPr>
        <w:spacing w:line="0" w:lineRule="atLeast"/>
        <w:rPr>
          <w:rFonts w:ascii="黑体" w:eastAsia="黑体" w:hAnsi="宋体"/>
          <w:b/>
          <w:spacing w:val="-20"/>
          <w:kern w:val="144"/>
          <w:sz w:val="52"/>
          <w:szCs w:val="52"/>
        </w:rPr>
      </w:pPr>
    </w:p>
    <w:p w14:paraId="30292D78" w14:textId="77777777" w:rsidR="00E3323E" w:rsidRDefault="00E3323E">
      <w:pPr>
        <w:spacing w:line="0" w:lineRule="atLeast"/>
        <w:rPr>
          <w:rFonts w:ascii="黑体" w:eastAsia="黑体" w:hAnsi="宋体"/>
          <w:b/>
          <w:spacing w:val="-20"/>
          <w:kern w:val="144"/>
          <w:sz w:val="52"/>
          <w:szCs w:val="52"/>
        </w:rPr>
      </w:pPr>
    </w:p>
    <w:p w14:paraId="36C223F2" w14:textId="77777777" w:rsidR="00E3323E" w:rsidRDefault="00E3323E">
      <w:pPr>
        <w:spacing w:line="0" w:lineRule="atLeast"/>
        <w:rPr>
          <w:rFonts w:ascii="黑体" w:eastAsia="黑体" w:hAnsi="宋体"/>
          <w:b/>
          <w:spacing w:val="-40"/>
          <w:kern w:val="144"/>
          <w:sz w:val="52"/>
          <w:szCs w:val="52"/>
        </w:rPr>
      </w:pPr>
    </w:p>
    <w:p w14:paraId="50E9BC1A" w14:textId="77777777" w:rsidR="00E3323E" w:rsidRDefault="00C049DE">
      <w:pPr>
        <w:spacing w:line="0" w:lineRule="atLeast"/>
        <w:rPr>
          <w:rFonts w:ascii="方正小标宋_GBK" w:eastAsia="方正小标宋_GBK" w:hAnsi="方正小标宋_GBK" w:cs="仿宋_GB2312"/>
          <w:b/>
          <w:snapToGrid w:val="0"/>
          <w:color w:val="FF0000"/>
          <w:spacing w:val="-17"/>
          <w:kern w:val="0"/>
          <w:sz w:val="52"/>
          <w:szCs w:val="52"/>
        </w:rPr>
      </w:pPr>
      <w:r>
        <w:rPr>
          <w:rFonts w:ascii="方正小标宋_GBK" w:eastAsia="方正小标宋_GBK" w:hAnsi="方正小标宋_GBK" w:cs="仿宋_GB2312" w:hint="eastAsia"/>
          <w:b/>
          <w:snapToGrid w:val="0"/>
          <w:color w:val="FF0000"/>
          <w:spacing w:val="-17"/>
          <w:kern w:val="0"/>
          <w:sz w:val="58"/>
          <w:szCs w:val="58"/>
        </w:rPr>
        <w:t>福建农林大学经济与管理学院文件</w:t>
      </w:r>
    </w:p>
    <w:p w14:paraId="31E20C56" w14:textId="77777777" w:rsidR="00E3323E" w:rsidRDefault="00E3323E">
      <w:pPr>
        <w:jc w:val="center"/>
        <w:rPr>
          <w:rFonts w:ascii="Bookman Old Style" w:hAnsi="Bookman Old Style"/>
          <w:b/>
          <w:spacing w:val="220"/>
          <w:w w:val="90"/>
          <w:sz w:val="10"/>
        </w:rPr>
      </w:pPr>
    </w:p>
    <w:p w14:paraId="47FFFF61" w14:textId="77777777" w:rsidR="00E3323E" w:rsidRDefault="00E3323E">
      <w:pPr>
        <w:jc w:val="center"/>
        <w:rPr>
          <w:rFonts w:ascii="Bookman Old Style" w:hAnsi="Bookman Old Style"/>
          <w:b/>
          <w:spacing w:val="220"/>
          <w:w w:val="90"/>
          <w:sz w:val="10"/>
        </w:rPr>
      </w:pPr>
    </w:p>
    <w:p w14:paraId="42F518A9" w14:textId="77777777" w:rsidR="00E3323E" w:rsidRDefault="00E3323E">
      <w:pPr>
        <w:jc w:val="center"/>
        <w:rPr>
          <w:rFonts w:ascii="Bookman Old Style" w:hAnsi="Bookman Old Style"/>
          <w:b/>
          <w:spacing w:val="220"/>
          <w:w w:val="90"/>
          <w:sz w:val="10"/>
        </w:rPr>
      </w:pPr>
    </w:p>
    <w:p w14:paraId="4FBFDEDD" w14:textId="77777777" w:rsidR="00E3323E" w:rsidRDefault="00E3323E">
      <w:pPr>
        <w:jc w:val="center"/>
        <w:rPr>
          <w:rFonts w:ascii="Bookman Old Style" w:hAnsi="Bookman Old Style"/>
          <w:b/>
          <w:spacing w:val="220"/>
          <w:w w:val="90"/>
          <w:sz w:val="10"/>
        </w:rPr>
      </w:pPr>
    </w:p>
    <w:p w14:paraId="0ED5AB77" w14:textId="77777777" w:rsidR="00E3323E" w:rsidRDefault="00C049DE">
      <w:pPr>
        <w:spacing w:line="620" w:lineRule="exact"/>
        <w:jc w:val="center"/>
        <w:rPr>
          <w:rFonts w:ascii="仿宋" w:eastAsia="仿宋" w:hAnsi="仿宋"/>
          <w:sz w:val="32"/>
        </w:rPr>
      </w:pPr>
      <w:bookmarkStart w:id="0" w:name="文件编号"/>
      <w:r>
        <w:rPr>
          <w:rFonts w:ascii="仿宋" w:eastAsia="仿宋" w:hAnsi="仿宋" w:hint="eastAsia"/>
          <w:sz w:val="32"/>
        </w:rPr>
        <w:t>农林大</w:t>
      </w:r>
      <w:proofErr w:type="gramStart"/>
      <w:r>
        <w:rPr>
          <w:rFonts w:ascii="仿宋" w:eastAsia="仿宋" w:hAnsi="仿宋" w:hint="eastAsia"/>
          <w:sz w:val="32"/>
        </w:rPr>
        <w:t>经管院字〔2024〕</w:t>
      </w:r>
      <w:proofErr w:type="gramEnd"/>
      <w:r>
        <w:rPr>
          <w:rFonts w:ascii="仿宋" w:eastAsia="仿宋" w:hAnsi="仿宋" w:hint="eastAsia"/>
          <w:sz w:val="32"/>
        </w:rPr>
        <w:t>16号</w:t>
      </w:r>
      <w:bookmarkEnd w:id="0"/>
    </w:p>
    <w:p w14:paraId="361FAC47" w14:textId="77777777" w:rsidR="00E3323E" w:rsidRDefault="00C049DE">
      <w:pPr>
        <w:jc w:val="center"/>
        <w:rPr>
          <w:rFonts w:ascii="仿宋_GB2312" w:eastAsia="仿宋_GB2312" w:hAnsi="仿宋_GB2312"/>
          <w:sz w:val="32"/>
        </w:rPr>
      </w:pPr>
      <w:r>
        <w:rPr>
          <w:rFonts w:hint="eastAsia"/>
          <w:noProof/>
        </w:rPr>
        <mc:AlternateContent>
          <mc:Choice Requires="wps">
            <w:drawing>
              <wp:anchor distT="0" distB="0" distL="114300" distR="114300" simplePos="0" relativeHeight="251659264" behindDoc="0" locked="0" layoutInCell="1" allowOverlap="1" wp14:anchorId="442CDBBE" wp14:editId="07F6F0C7">
                <wp:simplePos x="0" y="0"/>
                <wp:positionH relativeFrom="column">
                  <wp:posOffset>-115570</wp:posOffset>
                </wp:positionH>
                <wp:positionV relativeFrom="paragraph">
                  <wp:posOffset>34925</wp:posOffset>
                </wp:positionV>
                <wp:extent cx="5590540" cy="1270"/>
                <wp:effectExtent l="0" t="19050" r="10160" b="36830"/>
                <wp:wrapNone/>
                <wp:docPr id="1" name="任意多边形 1"/>
                <wp:cNvGraphicFramePr/>
                <a:graphic xmlns:a="http://schemas.openxmlformats.org/drawingml/2006/main">
                  <a:graphicData uri="http://schemas.microsoft.com/office/word/2010/wordprocessingShape">
                    <wps:wsp>
                      <wps:cNvSpPr/>
                      <wps:spPr>
                        <a:xfrm>
                          <a:off x="0" y="0"/>
                          <a:ext cx="5590540" cy="1270"/>
                        </a:xfrm>
                        <a:custGeom>
                          <a:avLst/>
                          <a:gdLst/>
                          <a:ahLst/>
                          <a:cxnLst/>
                          <a:rect l="0" t="0" r="0" b="0"/>
                          <a:pathLst>
                            <a:path w="21600" h="21600">
                              <a:moveTo>
                                <a:pt x="0" y="0"/>
                              </a:moveTo>
                              <a:lnTo>
                                <a:pt x="21600" y="21600"/>
                              </a:lnTo>
                            </a:path>
                          </a:pathLst>
                        </a:custGeom>
                        <a:noFill/>
                        <a:ln w="38100" cap="flat" cmpd="sng">
                          <a:solidFill>
                            <a:srgbClr val="FF0000"/>
                          </a:solidFill>
                          <a:prstDash val="solid"/>
                          <a:headEnd type="none" w="med" len="med"/>
                          <a:tailEnd type="none" w="med" len="med"/>
                        </a:ln>
                      </wps:spPr>
                      <wps:bodyPr upright="1"/>
                    </wps:wsp>
                  </a:graphicData>
                </a:graphic>
              </wp:anchor>
            </w:drawing>
          </mc:Choice>
          <mc:Fallback>
            <w:pict>
              <v:shape w14:anchorId="062C2C36" id="任意多边形 1" o:spid="_x0000_s1026" style="position:absolute;left:0;text-align:left;margin-left:-9.1pt;margin-top:2.75pt;width:440.2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" path="m,l21600,21600e" filled="f" strokecolor="red" strokeweight="3pt">
                <v:path arrowok="t" textboxrect="0,0,21600,21600"/>
              </v:shape>
            </w:pict>
          </mc:Fallback>
        </mc:AlternateContent>
      </w:r>
    </w:p>
    <w:p w14:paraId="7820F489" w14:textId="77777777" w:rsidR="00E3323E" w:rsidRDefault="00C049DE">
      <w:pPr>
        <w:pStyle w:val="a7"/>
        <w:shd w:val="clear" w:color="auto" w:fill="FFFFFF"/>
        <w:spacing w:before="0" w:beforeAutospacing="0" w:after="0" w:afterAutospacing="0" w:line="420" w:lineRule="atLeas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关于印发《福建农林大学经济与管理学院申请考核制博士研究生复试办法（2024年修订）》的通知</w:t>
      </w:r>
    </w:p>
    <w:p w14:paraId="23521652" w14:textId="77777777" w:rsidR="00E3323E" w:rsidRDefault="00E3323E">
      <w:pPr>
        <w:spacing w:line="680" w:lineRule="exact"/>
        <w:jc w:val="center"/>
        <w:rPr>
          <w:rFonts w:ascii="方正小标宋简体" w:eastAsia="方正小标宋简体" w:hAnsi="方正小标宋简体" w:cs="方正小标宋简体"/>
          <w:b/>
          <w:sz w:val="36"/>
          <w:szCs w:val="36"/>
        </w:rPr>
      </w:pPr>
    </w:p>
    <w:p w14:paraId="1F2F06A8" w14:textId="77777777" w:rsidR="00E3323E" w:rsidRDefault="00C049DE">
      <w:pPr>
        <w:spacing w:line="6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各下属党支部、各系、科室、平台、中心，工会、团委：</w:t>
      </w:r>
    </w:p>
    <w:p w14:paraId="6A1F1DB7" w14:textId="77777777" w:rsidR="00E3323E" w:rsidRDefault="00C049DE">
      <w:pPr>
        <w:spacing w:line="680" w:lineRule="exact"/>
        <w:ind w:firstLineChars="200" w:firstLine="640"/>
        <w:rPr>
          <w:rFonts w:ascii="仿宋_GB2312" w:eastAsia="仿宋_GB2312" w:hAnsi="Calibri" w:cs="Times New Roman"/>
          <w:sz w:val="32"/>
          <w:szCs w:val="32"/>
        </w:rPr>
      </w:pPr>
      <w:r>
        <w:rPr>
          <w:rFonts w:ascii="仿宋_GB2312" w:eastAsia="仿宋_GB2312" w:hAnsi="仿宋_GB2312" w:cs="仿宋_GB2312" w:hint="eastAsia"/>
          <w:sz w:val="32"/>
          <w:szCs w:val="32"/>
        </w:rPr>
        <w:t>《福建农林大学经济与管理学院申请考核制博士研究生复试办法（2024年修订）》经2024年</w:t>
      </w:r>
      <w:r>
        <w:rPr>
          <w:rFonts w:ascii="仿宋_GB2312" w:eastAsia="仿宋_GB2312" w:hAnsi="Calibri" w:cs="Times New Roman" w:hint="eastAsia"/>
          <w:sz w:val="32"/>
          <w:szCs w:val="32"/>
        </w:rPr>
        <w:t>12月12日学院党政联席会议审议通过，现予以印发，请遵照执行。</w:t>
      </w:r>
    </w:p>
    <w:p w14:paraId="46C3E8A5" w14:textId="77777777" w:rsidR="00E3323E" w:rsidRDefault="00E3323E">
      <w:pPr>
        <w:spacing w:line="680" w:lineRule="exact"/>
        <w:ind w:leftChars="304" w:left="1918" w:hangingChars="400" w:hanging="1280"/>
        <w:rPr>
          <w:rFonts w:ascii="仿宋_GB2312" w:eastAsia="仿宋_GB2312" w:hAnsi="Calibri" w:cs="Times New Roman"/>
          <w:sz w:val="32"/>
          <w:szCs w:val="32"/>
        </w:rPr>
      </w:pPr>
    </w:p>
    <w:p w14:paraId="64C0E2BF" w14:textId="77777777" w:rsidR="00E3323E" w:rsidRDefault="00E3323E">
      <w:pPr>
        <w:spacing w:line="680" w:lineRule="exact"/>
        <w:ind w:leftChars="304" w:left="1918" w:hangingChars="400" w:hanging="1280"/>
        <w:rPr>
          <w:rFonts w:ascii="仿宋_GB2312" w:eastAsia="仿宋_GB2312" w:hAnsi="Calibri" w:cs="Times New Roman"/>
          <w:sz w:val="32"/>
          <w:szCs w:val="32"/>
        </w:rPr>
      </w:pPr>
    </w:p>
    <w:p w14:paraId="56C7AD4D" w14:textId="77777777" w:rsidR="00E3323E" w:rsidRDefault="00C049DE">
      <w:pPr>
        <w:spacing w:line="680" w:lineRule="exact"/>
        <w:ind w:firstLineChars="200" w:firstLine="640"/>
        <w:jc w:val="right"/>
        <w:rPr>
          <w:rFonts w:ascii="仿宋_GB2312" w:eastAsia="仿宋_GB2312" w:hAnsi="Calibri" w:cs="Times New Roman"/>
          <w:sz w:val="32"/>
          <w:szCs w:val="32"/>
        </w:rPr>
      </w:pPr>
      <w:r>
        <w:rPr>
          <w:rFonts w:ascii="仿宋_GB2312" w:eastAsia="仿宋_GB2312" w:hAnsi="Calibri" w:cs="Times New Roman" w:hint="eastAsia"/>
          <w:sz w:val="32"/>
          <w:szCs w:val="32"/>
        </w:rPr>
        <w:t>福建农林大学经济与管理学院</w:t>
      </w:r>
    </w:p>
    <w:p w14:paraId="45503CBD" w14:textId="77777777" w:rsidR="00E3323E" w:rsidRDefault="00C049DE">
      <w:pPr>
        <w:pStyle w:val="a7"/>
        <w:shd w:val="clear" w:color="auto" w:fill="FFFFFF"/>
        <w:spacing w:before="0" w:beforeAutospacing="0" w:after="0" w:afterAutospacing="0" w:line="420" w:lineRule="atLeast"/>
        <w:jc w:val="center"/>
        <w:rPr>
          <w:rStyle w:val="a9"/>
          <w:rFonts w:ascii="方正小标宋简体" w:eastAsia="方正小标宋简体" w:hAnsi="方正小标宋简体" w:cs="方正小标宋简体"/>
          <w:sz w:val="36"/>
          <w:szCs w:val="36"/>
        </w:rPr>
      </w:pPr>
      <w:r>
        <w:rPr>
          <w:rFonts w:ascii="仿宋_GB2312" w:eastAsia="仿宋_GB2312" w:hAnsi="Calibri" w:cs="Times New Roman" w:hint="eastAsia"/>
          <w:sz w:val="32"/>
          <w:szCs w:val="32"/>
        </w:rPr>
        <w:t xml:space="preserve">                      2024年12月12日</w:t>
      </w:r>
      <w:r>
        <w:rPr>
          <w:rFonts w:ascii="方正小标宋简体" w:eastAsia="方正小标宋简体" w:hAnsi="方正小标宋简体" w:cs="方正小标宋简体" w:hint="eastAsia"/>
          <w:b/>
          <w:sz w:val="36"/>
          <w:szCs w:val="36"/>
        </w:rPr>
        <w:br w:type="page"/>
      </w:r>
      <w:r>
        <w:rPr>
          <w:rStyle w:val="a9"/>
          <w:rFonts w:ascii="方正小标宋简体" w:eastAsia="方正小标宋简体" w:hAnsi="方正小标宋简体" w:cs="方正小标宋简体" w:hint="eastAsia"/>
          <w:spacing w:val="-6"/>
          <w:sz w:val="36"/>
          <w:szCs w:val="36"/>
        </w:rPr>
        <w:lastRenderedPageBreak/>
        <w:t>福建农林大学经济与管理学院申请考核制博士研究生复试办法（</w:t>
      </w:r>
      <w:r>
        <w:rPr>
          <w:rStyle w:val="a9"/>
          <w:rFonts w:ascii="方正小标宋简体" w:eastAsia="方正小标宋简体" w:hAnsi="方正小标宋简体" w:cs="方正小标宋简体" w:hint="eastAsia"/>
          <w:sz w:val="36"/>
          <w:szCs w:val="36"/>
        </w:rPr>
        <w:t>2024年修订）</w:t>
      </w:r>
    </w:p>
    <w:p w14:paraId="3236E95D" w14:textId="77777777" w:rsidR="00E3323E" w:rsidRDefault="00E3323E">
      <w:pPr>
        <w:pStyle w:val="a7"/>
        <w:shd w:val="clear" w:color="auto" w:fill="FFFFFF"/>
        <w:spacing w:before="0" w:beforeAutospacing="0" w:after="0" w:afterAutospacing="0" w:line="420" w:lineRule="atLeast"/>
        <w:jc w:val="center"/>
        <w:rPr>
          <w:rStyle w:val="a9"/>
          <w:rFonts w:ascii="黑体" w:eastAsia="黑体" w:hAnsi="黑体"/>
          <w:sz w:val="30"/>
          <w:szCs w:val="30"/>
        </w:rPr>
      </w:pPr>
    </w:p>
    <w:p w14:paraId="7FA3724B" w14:textId="77777777" w:rsidR="00E3323E" w:rsidRDefault="00C049DE">
      <w:pPr>
        <w:pStyle w:val="a7"/>
        <w:shd w:val="clear" w:color="auto" w:fill="FFFFFF"/>
        <w:spacing w:before="0" w:beforeAutospacing="0" w:after="0" w:afterAutospacing="0" w:line="420" w:lineRule="atLeast"/>
        <w:ind w:firstLineChars="200" w:firstLine="600"/>
        <w:rPr>
          <w:rStyle w:val="a9"/>
          <w:rFonts w:ascii="仿宋_GB2312" w:eastAsia="仿宋_GB2312" w:hAnsi="仿宋_GB2312" w:cs="仿宋_GB2312"/>
          <w:b w:val="0"/>
          <w:sz w:val="30"/>
          <w:szCs w:val="30"/>
        </w:rPr>
      </w:pPr>
      <w:r>
        <w:rPr>
          <w:rStyle w:val="a9"/>
          <w:rFonts w:ascii="仿宋_GB2312" w:eastAsia="仿宋_GB2312" w:hAnsi="仿宋_GB2312" w:cs="仿宋_GB2312" w:hint="eastAsia"/>
          <w:b w:val="0"/>
          <w:sz w:val="30"/>
          <w:szCs w:val="30"/>
        </w:rPr>
        <w:t>为大力推进我院研究生培养体制机制创新，切实提升我院博士生培养质量，深入贯彻落实研究生导师负责制，充分发挥导师在博士生招生中的专业优势，在一体两翼的总体学科布局下进一步夯实学院学科基础，稳步提升学科建设水平，真正把我院农林经济管理学科打造成具有鲜明特色的</w:t>
      </w:r>
      <w:proofErr w:type="gramStart"/>
      <w:r>
        <w:rPr>
          <w:rStyle w:val="a9"/>
          <w:rFonts w:ascii="仿宋_GB2312" w:eastAsia="仿宋_GB2312" w:hAnsi="仿宋_GB2312" w:cs="仿宋_GB2312" w:hint="eastAsia"/>
          <w:b w:val="0"/>
          <w:sz w:val="30"/>
          <w:szCs w:val="30"/>
        </w:rPr>
        <w:t>农林口</w:t>
      </w:r>
      <w:proofErr w:type="gramEnd"/>
      <w:r>
        <w:rPr>
          <w:rStyle w:val="a9"/>
          <w:rFonts w:ascii="仿宋_GB2312" w:eastAsia="仿宋_GB2312" w:hAnsi="仿宋_GB2312" w:cs="仿宋_GB2312" w:hint="eastAsia"/>
          <w:b w:val="0"/>
          <w:sz w:val="30"/>
          <w:szCs w:val="30"/>
        </w:rPr>
        <w:t>商科，特制定本办法。</w:t>
      </w:r>
    </w:p>
    <w:p w14:paraId="3C649B76" w14:textId="77777777" w:rsidR="00E3323E" w:rsidRDefault="00C049DE">
      <w:pPr>
        <w:pStyle w:val="a7"/>
        <w:shd w:val="clear" w:color="auto" w:fill="FFFFFF"/>
        <w:spacing w:beforeLines="50" w:before="156" w:beforeAutospacing="0" w:afterLines="50" w:after="156" w:afterAutospacing="0" w:line="360" w:lineRule="auto"/>
        <w:ind w:firstLineChars="200" w:firstLine="600"/>
        <w:rPr>
          <w:rStyle w:val="a9"/>
          <w:rFonts w:ascii="仿宋_GB2312" w:eastAsia="仿宋_GB2312" w:hAnsi="仿宋_GB2312" w:cs="仿宋_GB2312"/>
          <w:sz w:val="30"/>
          <w:szCs w:val="30"/>
        </w:rPr>
      </w:pPr>
      <w:r>
        <w:rPr>
          <w:rStyle w:val="a9"/>
          <w:rFonts w:ascii="仿宋_GB2312" w:eastAsia="仿宋_GB2312" w:hAnsi="仿宋_GB2312" w:cs="仿宋_GB2312" w:hint="eastAsia"/>
          <w:sz w:val="30"/>
          <w:szCs w:val="30"/>
        </w:rPr>
        <w:t>一、考生类型</w:t>
      </w:r>
    </w:p>
    <w:p w14:paraId="7AACCD37" w14:textId="7FC447FD" w:rsidR="00E3323E" w:rsidRDefault="00C049DE">
      <w:pPr>
        <w:pStyle w:val="a7"/>
        <w:shd w:val="clear" w:color="auto" w:fill="FFFFFF"/>
        <w:spacing w:before="0" w:beforeAutospacing="0" w:after="0" w:afterAutospacing="0" w:line="420" w:lineRule="atLeast"/>
        <w:rPr>
          <w:rStyle w:val="a9"/>
          <w:rFonts w:ascii="仿宋_GB2312" w:eastAsia="仿宋_GB2312" w:hAnsi="仿宋_GB2312" w:cs="仿宋_GB2312"/>
          <w:b w:val="0"/>
          <w:sz w:val="30"/>
          <w:szCs w:val="30"/>
        </w:rPr>
      </w:pPr>
      <w:r>
        <w:rPr>
          <w:rStyle w:val="a9"/>
          <w:rFonts w:ascii="仿宋_GB2312" w:eastAsia="仿宋_GB2312" w:hAnsi="仿宋_GB2312" w:cs="仿宋_GB2312" w:hint="eastAsia"/>
          <w:b w:val="0"/>
          <w:sz w:val="30"/>
          <w:szCs w:val="30"/>
        </w:rPr>
        <w:t xml:space="preserve">    考生分为非在职类型和在职类型，非在职类型考生是指报考类别为非定向全日制的考生，在职类型考生包括报考类别为定向全日制和定向非全日制的两类考生，</w:t>
      </w:r>
      <w:r w:rsidRPr="00C856A3">
        <w:rPr>
          <w:rStyle w:val="a9"/>
          <w:rFonts w:ascii="仿宋_GB2312" w:eastAsia="仿宋_GB2312" w:hAnsi="仿宋_GB2312" w:cs="仿宋_GB2312" w:hint="eastAsia"/>
          <w:b w:val="0"/>
          <w:sz w:val="30"/>
          <w:szCs w:val="30"/>
        </w:rPr>
        <w:t>具体含义见《福建农林大学202</w:t>
      </w:r>
      <w:r w:rsidR="00C856A3" w:rsidRPr="00C856A3">
        <w:rPr>
          <w:rStyle w:val="a9"/>
          <w:rFonts w:ascii="仿宋_GB2312" w:eastAsia="仿宋_GB2312" w:hAnsi="仿宋_GB2312" w:cs="仿宋_GB2312"/>
          <w:b w:val="0"/>
          <w:sz w:val="30"/>
          <w:szCs w:val="30"/>
        </w:rPr>
        <w:t>6</w:t>
      </w:r>
      <w:r w:rsidRPr="00C856A3">
        <w:rPr>
          <w:rStyle w:val="a9"/>
          <w:rFonts w:ascii="仿宋_GB2312" w:eastAsia="仿宋_GB2312" w:hAnsi="仿宋_GB2312" w:cs="仿宋_GB2312" w:hint="eastAsia"/>
          <w:b w:val="0"/>
          <w:sz w:val="30"/>
          <w:szCs w:val="30"/>
        </w:rPr>
        <w:t>年招收攻读博士学位研究生简章》。</w:t>
      </w:r>
    </w:p>
    <w:p w14:paraId="52499E88" w14:textId="77777777" w:rsidR="00E3323E" w:rsidRDefault="00C049DE">
      <w:pPr>
        <w:pStyle w:val="a7"/>
        <w:shd w:val="clear" w:color="auto" w:fill="FFFFFF"/>
        <w:spacing w:beforeLines="50" w:before="156" w:beforeAutospacing="0" w:afterLines="50" w:after="156" w:afterAutospacing="0" w:line="360" w:lineRule="auto"/>
        <w:ind w:firstLineChars="200" w:firstLine="600"/>
        <w:rPr>
          <w:rStyle w:val="a9"/>
          <w:rFonts w:ascii="仿宋_GB2312" w:eastAsia="仿宋_GB2312" w:hAnsi="仿宋_GB2312" w:cs="仿宋_GB2312"/>
          <w:sz w:val="30"/>
          <w:szCs w:val="30"/>
        </w:rPr>
      </w:pPr>
      <w:r>
        <w:rPr>
          <w:rStyle w:val="a9"/>
          <w:rFonts w:ascii="仿宋_GB2312" w:eastAsia="仿宋_GB2312" w:hAnsi="仿宋_GB2312" w:cs="仿宋_GB2312" w:hint="eastAsia"/>
          <w:sz w:val="30"/>
          <w:szCs w:val="30"/>
        </w:rPr>
        <w:t>二、考生复试资格的确定</w:t>
      </w:r>
    </w:p>
    <w:p w14:paraId="6D53A271" w14:textId="77777777" w:rsidR="00E3323E" w:rsidRDefault="00C049DE">
      <w:pPr>
        <w:pStyle w:val="a7"/>
        <w:shd w:val="clear" w:color="auto" w:fill="FFFFFF"/>
        <w:spacing w:before="0" w:beforeAutospacing="0" w:after="0" w:afterAutospacing="0" w:line="360" w:lineRule="auto"/>
        <w:ind w:firstLineChars="200" w:firstLine="600"/>
        <w:rPr>
          <w:rStyle w:val="a9"/>
          <w:rFonts w:ascii="仿宋_GB2312" w:eastAsia="仿宋_GB2312" w:hAnsi="仿宋_GB2312" w:cs="仿宋_GB2312"/>
          <w:b w:val="0"/>
          <w:sz w:val="30"/>
          <w:szCs w:val="30"/>
        </w:rPr>
      </w:pPr>
      <w:r>
        <w:rPr>
          <w:rStyle w:val="a9"/>
          <w:rFonts w:ascii="仿宋_GB2312" w:eastAsia="仿宋_GB2312" w:hAnsi="仿宋_GB2312" w:cs="仿宋_GB2312" w:hint="eastAsia"/>
          <w:b w:val="0"/>
          <w:sz w:val="30"/>
          <w:szCs w:val="30"/>
        </w:rPr>
        <w:t>充分体现研究生导师负责制的精神，允许每位博士生导师从报考本人且符合报考条件的考生中择优选取不超过3位（含</w:t>
      </w:r>
      <w:r>
        <w:rPr>
          <w:rFonts w:ascii="仿宋_GB2312" w:eastAsia="仿宋_GB2312" w:hAnsi="仿宋_GB2312" w:cs="仿宋_GB2312" w:hint="eastAsia"/>
          <w:sz w:val="30"/>
          <w:szCs w:val="30"/>
        </w:rPr>
        <w:t>非在职类型和在职类型）</w:t>
      </w:r>
      <w:r>
        <w:rPr>
          <w:rStyle w:val="a9"/>
          <w:rFonts w:ascii="仿宋_GB2312" w:eastAsia="仿宋_GB2312" w:hAnsi="仿宋_GB2312" w:cs="仿宋_GB2312" w:hint="eastAsia"/>
          <w:b w:val="0"/>
          <w:sz w:val="30"/>
          <w:szCs w:val="30"/>
        </w:rPr>
        <w:t>进入复试，具体报考条件以学校和学院规定为准。</w:t>
      </w:r>
    </w:p>
    <w:p w14:paraId="3C8BBD7D" w14:textId="77777777" w:rsidR="00E3323E" w:rsidRDefault="00C049DE">
      <w:pPr>
        <w:pStyle w:val="a7"/>
        <w:shd w:val="clear" w:color="auto" w:fill="FFFFFF"/>
        <w:spacing w:beforeLines="50" w:before="156" w:beforeAutospacing="0" w:afterLines="50" w:after="156" w:afterAutospacing="0" w:line="360" w:lineRule="auto"/>
        <w:ind w:firstLineChars="200" w:firstLine="600"/>
        <w:rPr>
          <w:rStyle w:val="a9"/>
          <w:rFonts w:ascii="仿宋_GB2312" w:eastAsia="仿宋_GB2312" w:hAnsi="仿宋_GB2312" w:cs="仿宋_GB2312"/>
          <w:b w:val="0"/>
          <w:sz w:val="30"/>
          <w:szCs w:val="30"/>
        </w:rPr>
      </w:pPr>
      <w:r>
        <w:rPr>
          <w:rStyle w:val="a9"/>
          <w:rFonts w:ascii="仿宋_GB2312" w:eastAsia="仿宋_GB2312" w:hAnsi="仿宋_GB2312" w:cs="仿宋_GB2312" w:hint="eastAsia"/>
          <w:sz w:val="30"/>
          <w:szCs w:val="30"/>
        </w:rPr>
        <w:t>三、复试考核内容和形式</w:t>
      </w:r>
    </w:p>
    <w:p w14:paraId="57F148BD"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（一）复试考核内容</w:t>
      </w:r>
    </w:p>
    <w:p w14:paraId="5E805CD1"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bCs/>
          <w:kern w:val="0"/>
          <w:sz w:val="30"/>
          <w:szCs w:val="30"/>
        </w:rPr>
      </w:pPr>
      <w:proofErr w:type="gramStart"/>
      <w:r>
        <w:rPr>
          <w:rFonts w:ascii="仿宋_GB2312" w:eastAsia="仿宋_GB2312" w:hAnsi="仿宋_GB2312" w:cs="仿宋_GB2312" w:hint="eastAsia"/>
          <w:bCs/>
          <w:kern w:val="0"/>
          <w:sz w:val="30"/>
          <w:szCs w:val="30"/>
        </w:rPr>
        <w:lastRenderedPageBreak/>
        <w:t>非硕博</w:t>
      </w:r>
      <w:proofErr w:type="gramEnd"/>
      <w:r>
        <w:rPr>
          <w:rFonts w:ascii="仿宋_GB2312" w:eastAsia="仿宋_GB2312" w:hAnsi="仿宋_GB2312" w:cs="仿宋_GB2312" w:hint="eastAsia"/>
          <w:bCs/>
          <w:kern w:val="0"/>
          <w:sz w:val="30"/>
          <w:szCs w:val="30"/>
        </w:rPr>
        <w:t>连读考生的复试考核内容包括综合能力、英语、专业知识和学术能力四个部分。专业知识复试采用笔试形式，英语和综合能力复试采用面试形式，学术能力考核以所提交的科研成果作为评价依据。</w:t>
      </w:r>
    </w:p>
    <w:p w14:paraId="7D7595D0"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bCs/>
          <w:kern w:val="0"/>
          <w:sz w:val="30"/>
          <w:szCs w:val="30"/>
        </w:rPr>
        <w:t>硕博连读考生</w:t>
      </w:r>
      <w:r>
        <w:rPr>
          <w:rFonts w:ascii="仿宋_GB2312" w:eastAsia="仿宋_GB2312" w:hAnsi="仿宋_GB2312" w:cs="仿宋_GB2312" w:hint="eastAsia"/>
          <w:kern w:val="0"/>
          <w:sz w:val="30"/>
          <w:szCs w:val="30"/>
        </w:rPr>
        <w:t>的复试考核内容包括综合能力、英语、专业知识三个部分。</w:t>
      </w:r>
    </w:p>
    <w:p w14:paraId="23014F3D"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（二）复试考核形式</w:t>
      </w:r>
    </w:p>
    <w:p w14:paraId="0449A89C"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1.综合能力测试</w:t>
      </w:r>
    </w:p>
    <w:p w14:paraId="18D62D29"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考核对象为所有考生，以面试形式考核，满分100分。主要考查考生的思想品德、学科背景、科研经历、专业素质、思维能力、创新能力等。</w:t>
      </w:r>
    </w:p>
    <w:p w14:paraId="6B8F321E"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2.英语测试</w:t>
      </w:r>
    </w:p>
    <w:p w14:paraId="6F8299E3"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考核对象为所有考生，由学院按一级学科统一命题，以面试形式考核，满分100分。</w:t>
      </w:r>
    </w:p>
    <w:p w14:paraId="00569660"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3.专业知识复试</w:t>
      </w:r>
    </w:p>
    <w:p w14:paraId="14D38C90"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考核对象为所有考生，由学院按一级学科统一命题，以笔试形式考核，满分100分。主要考查考生的专业基础知识掌握情况，考试科目为经济学综合（包括微观经济学和宏观经济学）。</w:t>
      </w:r>
    </w:p>
    <w:p w14:paraId="12C41FD2"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4.学术能力考核</w:t>
      </w:r>
    </w:p>
    <w:p w14:paraId="09058348"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考核对象</w:t>
      </w:r>
      <w:proofErr w:type="gramStart"/>
      <w:r>
        <w:rPr>
          <w:rFonts w:ascii="仿宋_GB2312" w:eastAsia="仿宋_GB2312" w:hAnsi="仿宋_GB2312" w:cs="仿宋_GB2312" w:hint="eastAsia"/>
          <w:bCs/>
          <w:kern w:val="0"/>
          <w:sz w:val="30"/>
          <w:szCs w:val="30"/>
        </w:rPr>
        <w:t>为非硕博</w:t>
      </w:r>
      <w:proofErr w:type="gramEnd"/>
      <w:r>
        <w:rPr>
          <w:rFonts w:ascii="仿宋_GB2312" w:eastAsia="仿宋_GB2312" w:hAnsi="仿宋_GB2312" w:cs="仿宋_GB2312" w:hint="eastAsia"/>
          <w:bCs/>
          <w:kern w:val="0"/>
          <w:sz w:val="30"/>
          <w:szCs w:val="30"/>
        </w:rPr>
        <w:t>连读考生，根据考生所提交的科研成果进行量化评价，最高得分不超过20分，评分标准如下表所示：</w:t>
      </w:r>
    </w:p>
    <w:p w14:paraId="338A0B79" w14:textId="77777777" w:rsidR="00E3323E" w:rsidRDefault="00E3323E">
      <w:pPr>
        <w:widowControl/>
        <w:shd w:val="clear" w:color="auto" w:fill="FFFFFF"/>
        <w:autoSpaceDE w:val="0"/>
        <w:spacing w:line="360" w:lineRule="auto"/>
        <w:jc w:val="center"/>
        <w:rPr>
          <w:rFonts w:ascii="仿宋_GB2312" w:eastAsia="仿宋_GB2312" w:hAnsi="仿宋_GB2312" w:cs="仿宋_GB2312"/>
          <w:bCs/>
          <w:kern w:val="0"/>
          <w:sz w:val="24"/>
          <w:szCs w:val="24"/>
        </w:rPr>
      </w:pPr>
    </w:p>
    <w:p w14:paraId="51E6F455" w14:textId="77777777" w:rsidR="00E3323E" w:rsidRDefault="00C049DE">
      <w:pPr>
        <w:widowControl/>
        <w:shd w:val="clear" w:color="auto" w:fill="FFFFFF"/>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lastRenderedPageBreak/>
        <w:t>表1 学术能力考核评分标准</w:t>
      </w:r>
    </w:p>
    <w:tbl>
      <w:tblPr>
        <w:tblStyle w:val="a8"/>
        <w:tblW w:w="8267" w:type="dxa"/>
        <w:jc w:val="center"/>
        <w:tblLook w:val="04A0" w:firstRow="1" w:lastRow="0" w:firstColumn="1" w:lastColumn="0" w:noHBand="0" w:noVBand="1"/>
      </w:tblPr>
      <w:tblGrid>
        <w:gridCol w:w="1439"/>
        <w:gridCol w:w="810"/>
        <w:gridCol w:w="5103"/>
        <w:gridCol w:w="915"/>
      </w:tblGrid>
      <w:tr w:rsidR="00E3323E" w14:paraId="303C1F07" w14:textId="77777777">
        <w:trPr>
          <w:jc w:val="center"/>
        </w:trPr>
        <w:tc>
          <w:tcPr>
            <w:tcW w:w="1439" w:type="dxa"/>
          </w:tcPr>
          <w:p w14:paraId="243848F5"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成果类型</w:t>
            </w:r>
          </w:p>
        </w:tc>
        <w:tc>
          <w:tcPr>
            <w:tcW w:w="810" w:type="dxa"/>
          </w:tcPr>
          <w:p w14:paraId="1E539DF2"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序号</w:t>
            </w:r>
          </w:p>
        </w:tc>
        <w:tc>
          <w:tcPr>
            <w:tcW w:w="5103" w:type="dxa"/>
          </w:tcPr>
          <w:p w14:paraId="08DF1693"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成果内容</w:t>
            </w:r>
          </w:p>
        </w:tc>
        <w:tc>
          <w:tcPr>
            <w:tcW w:w="915" w:type="dxa"/>
          </w:tcPr>
          <w:p w14:paraId="7171A7B8"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分值</w:t>
            </w:r>
          </w:p>
        </w:tc>
      </w:tr>
      <w:tr w:rsidR="00E3323E" w14:paraId="6C1ADA37" w14:textId="77777777">
        <w:trPr>
          <w:jc w:val="center"/>
        </w:trPr>
        <w:tc>
          <w:tcPr>
            <w:tcW w:w="1439" w:type="dxa"/>
            <w:vMerge w:val="restart"/>
            <w:vAlign w:val="center"/>
          </w:tcPr>
          <w:p w14:paraId="0D7F19A7"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学术论文</w:t>
            </w:r>
          </w:p>
        </w:tc>
        <w:tc>
          <w:tcPr>
            <w:tcW w:w="810" w:type="dxa"/>
            <w:vAlign w:val="center"/>
          </w:tcPr>
          <w:p w14:paraId="6007C16E"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1</w:t>
            </w:r>
          </w:p>
        </w:tc>
        <w:tc>
          <w:tcPr>
            <w:tcW w:w="5103" w:type="dxa"/>
          </w:tcPr>
          <w:p w14:paraId="249487C8"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在权威期刊（A1刊）及以上刊物发表的论文</w:t>
            </w:r>
          </w:p>
        </w:tc>
        <w:tc>
          <w:tcPr>
            <w:tcW w:w="915" w:type="dxa"/>
          </w:tcPr>
          <w:p w14:paraId="7129CFEE"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20分</w:t>
            </w:r>
          </w:p>
        </w:tc>
      </w:tr>
      <w:tr w:rsidR="00E3323E" w14:paraId="081D2557" w14:textId="77777777">
        <w:trPr>
          <w:jc w:val="center"/>
        </w:trPr>
        <w:tc>
          <w:tcPr>
            <w:tcW w:w="1439" w:type="dxa"/>
            <w:vMerge/>
            <w:vAlign w:val="center"/>
          </w:tcPr>
          <w:p w14:paraId="5D325A74" w14:textId="77777777" w:rsidR="00E3323E"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vAlign w:val="center"/>
          </w:tcPr>
          <w:p w14:paraId="6FC4F253"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2</w:t>
            </w:r>
          </w:p>
        </w:tc>
        <w:tc>
          <w:tcPr>
            <w:tcW w:w="5103" w:type="dxa"/>
          </w:tcPr>
          <w:p w14:paraId="7191405A"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在权威期刊（A2刊）上发表的论文</w:t>
            </w:r>
          </w:p>
        </w:tc>
        <w:tc>
          <w:tcPr>
            <w:tcW w:w="915" w:type="dxa"/>
          </w:tcPr>
          <w:p w14:paraId="6C5EB39B"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15分</w:t>
            </w:r>
          </w:p>
        </w:tc>
      </w:tr>
      <w:tr w:rsidR="00E3323E" w14:paraId="570661D4" w14:textId="77777777">
        <w:trPr>
          <w:jc w:val="center"/>
        </w:trPr>
        <w:tc>
          <w:tcPr>
            <w:tcW w:w="1439" w:type="dxa"/>
            <w:vMerge/>
            <w:vAlign w:val="center"/>
          </w:tcPr>
          <w:p w14:paraId="612E40F6" w14:textId="77777777" w:rsidR="00E3323E"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vAlign w:val="center"/>
          </w:tcPr>
          <w:p w14:paraId="467F0CB6"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3</w:t>
            </w:r>
          </w:p>
        </w:tc>
        <w:tc>
          <w:tcPr>
            <w:tcW w:w="5103" w:type="dxa"/>
          </w:tcPr>
          <w:p w14:paraId="131778D0"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在重要期刊（B刊）上发表的论文</w:t>
            </w:r>
          </w:p>
        </w:tc>
        <w:tc>
          <w:tcPr>
            <w:tcW w:w="915" w:type="dxa"/>
          </w:tcPr>
          <w:p w14:paraId="06827D1C"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10分</w:t>
            </w:r>
          </w:p>
        </w:tc>
      </w:tr>
      <w:tr w:rsidR="00E3323E" w14:paraId="110B94BD" w14:textId="77777777">
        <w:trPr>
          <w:jc w:val="center"/>
        </w:trPr>
        <w:tc>
          <w:tcPr>
            <w:tcW w:w="1439" w:type="dxa"/>
            <w:vMerge/>
            <w:vAlign w:val="center"/>
          </w:tcPr>
          <w:p w14:paraId="2AE3E6DF" w14:textId="77777777" w:rsidR="00E3323E"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vAlign w:val="center"/>
          </w:tcPr>
          <w:p w14:paraId="041CBF39"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4</w:t>
            </w:r>
          </w:p>
        </w:tc>
        <w:tc>
          <w:tcPr>
            <w:tcW w:w="5103" w:type="dxa"/>
          </w:tcPr>
          <w:p w14:paraId="5DE0A8C0"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在核心期刊（C刊） 上发表的论文</w:t>
            </w:r>
          </w:p>
        </w:tc>
        <w:tc>
          <w:tcPr>
            <w:tcW w:w="915" w:type="dxa"/>
          </w:tcPr>
          <w:p w14:paraId="0EB6ACB0"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5分</w:t>
            </w:r>
          </w:p>
        </w:tc>
      </w:tr>
      <w:tr w:rsidR="00E3323E" w14:paraId="1ACA207F" w14:textId="77777777">
        <w:trPr>
          <w:jc w:val="center"/>
        </w:trPr>
        <w:tc>
          <w:tcPr>
            <w:tcW w:w="1439" w:type="dxa"/>
            <w:vAlign w:val="center"/>
          </w:tcPr>
          <w:p w14:paraId="0455BE00"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专著</w:t>
            </w:r>
          </w:p>
        </w:tc>
        <w:tc>
          <w:tcPr>
            <w:tcW w:w="810" w:type="dxa"/>
            <w:vAlign w:val="center"/>
          </w:tcPr>
          <w:p w14:paraId="6866C756"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5</w:t>
            </w:r>
          </w:p>
        </w:tc>
        <w:tc>
          <w:tcPr>
            <w:tcW w:w="5103" w:type="dxa"/>
          </w:tcPr>
          <w:p w14:paraId="49FA1711"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在国家级出版社出版的学术专著</w:t>
            </w:r>
          </w:p>
        </w:tc>
        <w:tc>
          <w:tcPr>
            <w:tcW w:w="915" w:type="dxa"/>
          </w:tcPr>
          <w:p w14:paraId="1A53C570"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10分</w:t>
            </w:r>
          </w:p>
        </w:tc>
      </w:tr>
      <w:tr w:rsidR="00E3323E" w14:paraId="1FB06AC0" w14:textId="77777777">
        <w:trPr>
          <w:jc w:val="center"/>
        </w:trPr>
        <w:tc>
          <w:tcPr>
            <w:tcW w:w="1439" w:type="dxa"/>
            <w:vMerge w:val="restart"/>
            <w:vAlign w:val="center"/>
          </w:tcPr>
          <w:p w14:paraId="574D7490"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科研成果奖</w:t>
            </w:r>
          </w:p>
        </w:tc>
        <w:tc>
          <w:tcPr>
            <w:tcW w:w="810" w:type="dxa"/>
            <w:vAlign w:val="center"/>
          </w:tcPr>
          <w:p w14:paraId="517D9CA4"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6</w:t>
            </w:r>
          </w:p>
        </w:tc>
        <w:tc>
          <w:tcPr>
            <w:tcW w:w="5103" w:type="dxa"/>
          </w:tcPr>
          <w:p w14:paraId="5AEF21BC"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国家级科研成果奖、省部级科研成果奖一等奖</w:t>
            </w:r>
          </w:p>
        </w:tc>
        <w:tc>
          <w:tcPr>
            <w:tcW w:w="915" w:type="dxa"/>
          </w:tcPr>
          <w:p w14:paraId="22EE0131"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20分</w:t>
            </w:r>
          </w:p>
        </w:tc>
      </w:tr>
      <w:tr w:rsidR="00E3323E" w14:paraId="7CB142A5" w14:textId="77777777">
        <w:trPr>
          <w:jc w:val="center"/>
        </w:trPr>
        <w:tc>
          <w:tcPr>
            <w:tcW w:w="1439" w:type="dxa"/>
            <w:vMerge/>
          </w:tcPr>
          <w:p w14:paraId="4DFC1932" w14:textId="77777777" w:rsidR="00E3323E"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vAlign w:val="center"/>
          </w:tcPr>
          <w:p w14:paraId="5B5F7E03"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7</w:t>
            </w:r>
          </w:p>
        </w:tc>
        <w:tc>
          <w:tcPr>
            <w:tcW w:w="5103" w:type="dxa"/>
          </w:tcPr>
          <w:p w14:paraId="797213AD"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省部级科研成果奖二等奖</w:t>
            </w:r>
          </w:p>
        </w:tc>
        <w:tc>
          <w:tcPr>
            <w:tcW w:w="915" w:type="dxa"/>
          </w:tcPr>
          <w:p w14:paraId="2869C4D7"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15分</w:t>
            </w:r>
          </w:p>
        </w:tc>
      </w:tr>
      <w:tr w:rsidR="00E3323E" w14:paraId="0E588E92" w14:textId="77777777">
        <w:trPr>
          <w:jc w:val="center"/>
        </w:trPr>
        <w:tc>
          <w:tcPr>
            <w:tcW w:w="1439" w:type="dxa"/>
            <w:vMerge/>
          </w:tcPr>
          <w:p w14:paraId="3756AC47" w14:textId="77777777" w:rsidR="00E3323E"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vAlign w:val="center"/>
          </w:tcPr>
          <w:p w14:paraId="131BEED8"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8</w:t>
            </w:r>
          </w:p>
        </w:tc>
        <w:tc>
          <w:tcPr>
            <w:tcW w:w="5103" w:type="dxa"/>
          </w:tcPr>
          <w:p w14:paraId="31A6A026"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省部级科研成果奖三等奖</w:t>
            </w:r>
          </w:p>
        </w:tc>
        <w:tc>
          <w:tcPr>
            <w:tcW w:w="915" w:type="dxa"/>
          </w:tcPr>
          <w:p w14:paraId="605A96D0" w14:textId="77777777" w:rsidR="00E3323E" w:rsidRDefault="00C049DE">
            <w:pPr>
              <w:widowControl/>
              <w:autoSpaceDE w:val="0"/>
              <w:spacing w:line="360" w:lineRule="auto"/>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10分</w:t>
            </w:r>
          </w:p>
        </w:tc>
      </w:tr>
      <w:tr w:rsidR="007D3BDA" w:rsidRPr="007D3BDA" w14:paraId="7F6B04B8" w14:textId="77777777">
        <w:trPr>
          <w:jc w:val="center"/>
        </w:trPr>
        <w:tc>
          <w:tcPr>
            <w:tcW w:w="1439" w:type="dxa"/>
            <w:vMerge w:val="restart"/>
          </w:tcPr>
          <w:p w14:paraId="766224D1" w14:textId="77777777" w:rsidR="00E3323E" w:rsidRPr="007D3BDA" w:rsidRDefault="00E3323E">
            <w:pPr>
              <w:widowControl/>
              <w:autoSpaceDE w:val="0"/>
              <w:spacing w:line="360" w:lineRule="auto"/>
              <w:rPr>
                <w:rFonts w:ascii="仿宋_GB2312" w:eastAsia="仿宋_GB2312" w:hAnsi="仿宋_GB2312" w:cs="仿宋_GB2312"/>
                <w:bCs/>
                <w:kern w:val="0"/>
                <w:sz w:val="24"/>
                <w:szCs w:val="24"/>
              </w:rPr>
            </w:pPr>
          </w:p>
          <w:p w14:paraId="2E2B6575" w14:textId="77777777" w:rsidR="00E3323E" w:rsidRPr="007D3BDA" w:rsidRDefault="00C049DE">
            <w:pPr>
              <w:widowControl/>
              <w:autoSpaceDE w:val="0"/>
              <w:spacing w:line="360" w:lineRule="auto"/>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决策咨询采纳</w:t>
            </w:r>
          </w:p>
        </w:tc>
        <w:tc>
          <w:tcPr>
            <w:tcW w:w="810" w:type="dxa"/>
            <w:shd w:val="clear" w:color="auto" w:fill="auto"/>
            <w:vAlign w:val="center"/>
          </w:tcPr>
          <w:p w14:paraId="51DFF2F9"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9</w:t>
            </w:r>
          </w:p>
        </w:tc>
        <w:tc>
          <w:tcPr>
            <w:tcW w:w="5103" w:type="dxa"/>
          </w:tcPr>
          <w:p w14:paraId="17792083"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国家领导人肯定性批示</w:t>
            </w:r>
          </w:p>
        </w:tc>
        <w:tc>
          <w:tcPr>
            <w:tcW w:w="915" w:type="dxa"/>
          </w:tcPr>
          <w:p w14:paraId="1CE10434"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20分</w:t>
            </w:r>
          </w:p>
        </w:tc>
      </w:tr>
      <w:tr w:rsidR="007D3BDA" w:rsidRPr="007D3BDA" w14:paraId="4469B64F" w14:textId="77777777">
        <w:trPr>
          <w:jc w:val="center"/>
        </w:trPr>
        <w:tc>
          <w:tcPr>
            <w:tcW w:w="1439" w:type="dxa"/>
            <w:vMerge/>
          </w:tcPr>
          <w:p w14:paraId="47A11223" w14:textId="77777777" w:rsidR="00E3323E" w:rsidRPr="007D3BDA"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shd w:val="clear" w:color="auto" w:fill="auto"/>
            <w:vAlign w:val="center"/>
          </w:tcPr>
          <w:p w14:paraId="094195F8"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10</w:t>
            </w:r>
          </w:p>
        </w:tc>
        <w:tc>
          <w:tcPr>
            <w:tcW w:w="5103" w:type="dxa"/>
            <w:shd w:val="clear" w:color="auto" w:fill="auto"/>
          </w:tcPr>
          <w:p w14:paraId="342308FC"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省部级领导肯定性批示和国家级采纳（内部刊物发表）</w:t>
            </w:r>
          </w:p>
        </w:tc>
        <w:tc>
          <w:tcPr>
            <w:tcW w:w="915" w:type="dxa"/>
            <w:shd w:val="clear" w:color="auto" w:fill="auto"/>
          </w:tcPr>
          <w:p w14:paraId="3F1C86BC"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15分</w:t>
            </w:r>
          </w:p>
        </w:tc>
      </w:tr>
      <w:tr w:rsidR="007D3BDA" w:rsidRPr="007D3BDA" w14:paraId="59E101B1" w14:textId="77777777">
        <w:trPr>
          <w:jc w:val="center"/>
        </w:trPr>
        <w:tc>
          <w:tcPr>
            <w:tcW w:w="1439" w:type="dxa"/>
            <w:vMerge/>
          </w:tcPr>
          <w:p w14:paraId="2683D0A3" w14:textId="77777777" w:rsidR="00E3323E" w:rsidRPr="007D3BDA"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shd w:val="clear" w:color="auto" w:fill="auto"/>
            <w:vAlign w:val="center"/>
          </w:tcPr>
          <w:p w14:paraId="29E7D22F"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11</w:t>
            </w:r>
          </w:p>
        </w:tc>
        <w:tc>
          <w:tcPr>
            <w:tcW w:w="5103" w:type="dxa"/>
          </w:tcPr>
          <w:p w14:paraId="3D772E2A"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省部级采纳（内部刊物发表）</w:t>
            </w:r>
          </w:p>
        </w:tc>
        <w:tc>
          <w:tcPr>
            <w:tcW w:w="915" w:type="dxa"/>
          </w:tcPr>
          <w:p w14:paraId="2032D9FA"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10分</w:t>
            </w:r>
          </w:p>
        </w:tc>
      </w:tr>
      <w:tr w:rsidR="007D3BDA" w:rsidRPr="007D3BDA" w14:paraId="2C947B5F" w14:textId="77777777">
        <w:trPr>
          <w:jc w:val="center"/>
        </w:trPr>
        <w:tc>
          <w:tcPr>
            <w:tcW w:w="1439" w:type="dxa"/>
            <w:vMerge w:val="restart"/>
            <w:vAlign w:val="center"/>
          </w:tcPr>
          <w:p w14:paraId="280AD425"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纵向科研项目</w:t>
            </w:r>
          </w:p>
        </w:tc>
        <w:tc>
          <w:tcPr>
            <w:tcW w:w="810" w:type="dxa"/>
            <w:shd w:val="clear" w:color="auto" w:fill="auto"/>
            <w:vAlign w:val="center"/>
          </w:tcPr>
          <w:p w14:paraId="4279580C"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12</w:t>
            </w:r>
          </w:p>
        </w:tc>
        <w:tc>
          <w:tcPr>
            <w:tcW w:w="5103" w:type="dxa"/>
          </w:tcPr>
          <w:p w14:paraId="44339E93"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国家级科研项目</w:t>
            </w:r>
          </w:p>
        </w:tc>
        <w:tc>
          <w:tcPr>
            <w:tcW w:w="915" w:type="dxa"/>
          </w:tcPr>
          <w:p w14:paraId="0B573B8E"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20分</w:t>
            </w:r>
          </w:p>
        </w:tc>
      </w:tr>
      <w:tr w:rsidR="007D3BDA" w:rsidRPr="007D3BDA" w14:paraId="1BCC4535" w14:textId="77777777">
        <w:trPr>
          <w:jc w:val="center"/>
        </w:trPr>
        <w:tc>
          <w:tcPr>
            <w:tcW w:w="1439" w:type="dxa"/>
            <w:vMerge/>
          </w:tcPr>
          <w:p w14:paraId="574DBB9C" w14:textId="77777777" w:rsidR="00E3323E" w:rsidRPr="007D3BDA"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vAlign w:val="center"/>
          </w:tcPr>
          <w:p w14:paraId="5C23302E"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13</w:t>
            </w:r>
          </w:p>
        </w:tc>
        <w:tc>
          <w:tcPr>
            <w:tcW w:w="5103" w:type="dxa"/>
          </w:tcPr>
          <w:p w14:paraId="4CFC2CC0"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部级科研项目</w:t>
            </w:r>
          </w:p>
        </w:tc>
        <w:tc>
          <w:tcPr>
            <w:tcW w:w="915" w:type="dxa"/>
          </w:tcPr>
          <w:p w14:paraId="014DAC01"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10分</w:t>
            </w:r>
          </w:p>
        </w:tc>
      </w:tr>
      <w:tr w:rsidR="007D3BDA" w:rsidRPr="007D3BDA" w14:paraId="0947630F" w14:textId="77777777">
        <w:trPr>
          <w:jc w:val="center"/>
        </w:trPr>
        <w:tc>
          <w:tcPr>
            <w:tcW w:w="1439" w:type="dxa"/>
            <w:vMerge/>
          </w:tcPr>
          <w:p w14:paraId="0687C77E" w14:textId="77777777" w:rsidR="00E3323E" w:rsidRPr="007D3BDA" w:rsidRDefault="00E3323E">
            <w:pPr>
              <w:widowControl/>
              <w:autoSpaceDE w:val="0"/>
              <w:spacing w:line="360" w:lineRule="auto"/>
              <w:jc w:val="center"/>
              <w:rPr>
                <w:rFonts w:ascii="仿宋_GB2312" w:eastAsia="仿宋_GB2312" w:hAnsi="仿宋_GB2312" w:cs="仿宋_GB2312"/>
                <w:bCs/>
                <w:kern w:val="0"/>
                <w:sz w:val="24"/>
                <w:szCs w:val="24"/>
              </w:rPr>
            </w:pPr>
          </w:p>
        </w:tc>
        <w:tc>
          <w:tcPr>
            <w:tcW w:w="810" w:type="dxa"/>
            <w:vAlign w:val="center"/>
          </w:tcPr>
          <w:p w14:paraId="21FCE575"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14</w:t>
            </w:r>
          </w:p>
        </w:tc>
        <w:tc>
          <w:tcPr>
            <w:tcW w:w="5103" w:type="dxa"/>
          </w:tcPr>
          <w:p w14:paraId="7DFB8FEE"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省级科研项目</w:t>
            </w:r>
          </w:p>
        </w:tc>
        <w:tc>
          <w:tcPr>
            <w:tcW w:w="915" w:type="dxa"/>
          </w:tcPr>
          <w:p w14:paraId="36CD9E87" w14:textId="77777777" w:rsidR="00E3323E" w:rsidRPr="007D3BDA" w:rsidRDefault="00C049DE">
            <w:pPr>
              <w:widowControl/>
              <w:autoSpaceDE w:val="0"/>
              <w:spacing w:line="360" w:lineRule="auto"/>
              <w:jc w:val="center"/>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t>5分</w:t>
            </w:r>
          </w:p>
        </w:tc>
      </w:tr>
    </w:tbl>
    <w:p w14:paraId="12AFEAE7" w14:textId="77777777" w:rsidR="00E3323E" w:rsidRPr="007D3BDA" w:rsidRDefault="00C049DE">
      <w:pPr>
        <w:widowControl/>
        <w:shd w:val="clear" w:color="auto" w:fill="FFFFFF"/>
        <w:autoSpaceDE w:val="0"/>
        <w:spacing w:line="360" w:lineRule="auto"/>
        <w:ind w:firstLineChars="200" w:firstLine="480"/>
        <w:jc w:val="left"/>
        <w:rPr>
          <w:rFonts w:ascii="仿宋_GB2312" w:eastAsia="仿宋_GB2312" w:hAnsi="仿宋_GB2312" w:cs="仿宋_GB2312"/>
          <w:b/>
          <w:kern w:val="0"/>
          <w:sz w:val="24"/>
          <w:szCs w:val="24"/>
        </w:rPr>
      </w:pPr>
      <w:r w:rsidRPr="007D3BDA">
        <w:rPr>
          <w:rFonts w:ascii="仿宋_GB2312" w:eastAsia="仿宋_GB2312" w:hAnsi="仿宋_GB2312" w:cs="仿宋_GB2312" w:hint="eastAsia"/>
          <w:bCs/>
          <w:kern w:val="0"/>
          <w:sz w:val="24"/>
          <w:szCs w:val="24"/>
        </w:rPr>
        <w:t>表1中成果署名要求如下：</w:t>
      </w:r>
      <w:r w:rsidRPr="007D3BDA">
        <w:rPr>
          <w:rFonts w:ascii="仿宋_GB2312" w:eastAsia="仿宋_GB2312" w:hAnsi="仿宋_GB2312" w:cs="仿宋_GB2312" w:hint="eastAsia"/>
          <w:bCs/>
          <w:kern w:val="0"/>
          <w:sz w:val="24"/>
          <w:szCs w:val="24"/>
        </w:rPr>
        <w:fldChar w:fldCharType="begin"/>
      </w:r>
      <w:r w:rsidRPr="007D3BDA">
        <w:rPr>
          <w:rFonts w:ascii="仿宋_GB2312" w:eastAsia="仿宋_GB2312" w:hAnsi="仿宋_GB2312" w:cs="仿宋_GB2312" w:hint="eastAsia"/>
          <w:bCs/>
          <w:kern w:val="0"/>
          <w:sz w:val="24"/>
          <w:szCs w:val="24"/>
        </w:rPr>
        <w:instrText xml:space="preserve"> = 1 \* GB3 </w:instrText>
      </w:r>
      <w:r w:rsidRPr="007D3BDA">
        <w:rPr>
          <w:rFonts w:ascii="仿宋_GB2312" w:eastAsia="仿宋_GB2312" w:hAnsi="仿宋_GB2312" w:cs="仿宋_GB2312" w:hint="eastAsia"/>
          <w:bCs/>
          <w:kern w:val="0"/>
          <w:sz w:val="24"/>
          <w:szCs w:val="24"/>
        </w:rPr>
        <w:fldChar w:fldCharType="separate"/>
      </w:r>
      <w:r w:rsidRPr="007D3BDA">
        <w:rPr>
          <w:rFonts w:ascii="仿宋_GB2312" w:eastAsia="仿宋_GB2312" w:hAnsi="仿宋_GB2312" w:cs="仿宋_GB2312" w:hint="eastAsia"/>
          <w:bCs/>
          <w:kern w:val="0"/>
          <w:sz w:val="24"/>
          <w:szCs w:val="24"/>
        </w:rPr>
        <w:t>①</w:t>
      </w:r>
      <w:r w:rsidRPr="007D3BDA">
        <w:rPr>
          <w:rFonts w:ascii="仿宋_GB2312" w:eastAsia="仿宋_GB2312" w:hAnsi="仿宋_GB2312" w:cs="仿宋_GB2312" w:hint="eastAsia"/>
          <w:bCs/>
          <w:kern w:val="0"/>
          <w:sz w:val="24"/>
          <w:szCs w:val="24"/>
        </w:rPr>
        <w:fldChar w:fldCharType="end"/>
      </w:r>
      <w:r w:rsidRPr="007D3BDA">
        <w:rPr>
          <w:rFonts w:ascii="仿宋_GB2312" w:eastAsia="仿宋_GB2312" w:hAnsi="仿宋_GB2312" w:cs="仿宋_GB2312" w:hint="eastAsia"/>
          <w:bCs/>
          <w:kern w:val="0"/>
          <w:sz w:val="24"/>
          <w:szCs w:val="24"/>
        </w:rPr>
        <w:t xml:space="preserve"> 学术论文要求考生为第一作者，导师为第一作者、考生为第二作者可视为考生为共同第一作者；</w:t>
      </w:r>
      <w:r w:rsidRPr="007D3BDA">
        <w:rPr>
          <w:rFonts w:ascii="仿宋_GB2312" w:eastAsia="仿宋_GB2312" w:hAnsi="仿宋_GB2312" w:cs="仿宋_GB2312" w:hint="eastAsia"/>
          <w:bCs/>
          <w:kern w:val="0"/>
          <w:sz w:val="24"/>
          <w:szCs w:val="24"/>
        </w:rPr>
        <w:fldChar w:fldCharType="begin"/>
      </w:r>
      <w:r w:rsidRPr="007D3BDA">
        <w:rPr>
          <w:rFonts w:ascii="仿宋_GB2312" w:eastAsia="仿宋_GB2312" w:hAnsi="仿宋_GB2312" w:cs="仿宋_GB2312" w:hint="eastAsia"/>
          <w:bCs/>
          <w:kern w:val="0"/>
          <w:sz w:val="24"/>
          <w:szCs w:val="24"/>
        </w:rPr>
        <w:instrText xml:space="preserve"> = 2 \* GB3 </w:instrText>
      </w:r>
      <w:r w:rsidRPr="007D3BDA">
        <w:rPr>
          <w:rFonts w:ascii="仿宋_GB2312" w:eastAsia="仿宋_GB2312" w:hAnsi="仿宋_GB2312" w:cs="仿宋_GB2312" w:hint="eastAsia"/>
          <w:bCs/>
          <w:kern w:val="0"/>
          <w:sz w:val="24"/>
          <w:szCs w:val="24"/>
        </w:rPr>
        <w:fldChar w:fldCharType="separate"/>
      </w:r>
      <w:r w:rsidRPr="007D3BDA">
        <w:rPr>
          <w:rFonts w:ascii="仿宋_GB2312" w:eastAsia="仿宋_GB2312" w:hAnsi="仿宋_GB2312" w:cs="仿宋_GB2312" w:hint="eastAsia"/>
          <w:bCs/>
          <w:kern w:val="0"/>
          <w:sz w:val="24"/>
          <w:szCs w:val="24"/>
        </w:rPr>
        <w:t>②</w:t>
      </w:r>
      <w:r w:rsidRPr="007D3BDA">
        <w:rPr>
          <w:rFonts w:ascii="仿宋_GB2312" w:eastAsia="仿宋_GB2312" w:hAnsi="仿宋_GB2312" w:cs="仿宋_GB2312" w:hint="eastAsia"/>
          <w:bCs/>
          <w:kern w:val="0"/>
          <w:sz w:val="24"/>
          <w:szCs w:val="24"/>
        </w:rPr>
        <w:fldChar w:fldCharType="end"/>
      </w:r>
      <w:r w:rsidRPr="007D3BDA">
        <w:rPr>
          <w:rFonts w:ascii="仿宋_GB2312" w:eastAsia="仿宋_GB2312" w:hAnsi="仿宋_GB2312" w:cs="仿宋_GB2312" w:hint="eastAsia"/>
          <w:bCs/>
          <w:kern w:val="0"/>
          <w:sz w:val="24"/>
          <w:szCs w:val="24"/>
        </w:rPr>
        <w:t>学术专著要求考生署名第一；</w:t>
      </w:r>
      <w:r w:rsidRPr="007D3BDA">
        <w:rPr>
          <w:rFonts w:ascii="仿宋_GB2312" w:eastAsia="仿宋_GB2312" w:hAnsi="仿宋_GB2312" w:cs="仿宋_GB2312" w:hint="eastAsia"/>
          <w:bCs/>
          <w:kern w:val="0"/>
          <w:sz w:val="24"/>
          <w:szCs w:val="24"/>
        </w:rPr>
        <w:fldChar w:fldCharType="begin"/>
      </w:r>
      <w:r w:rsidRPr="007D3BDA">
        <w:rPr>
          <w:rFonts w:ascii="仿宋_GB2312" w:eastAsia="仿宋_GB2312" w:hAnsi="仿宋_GB2312" w:cs="仿宋_GB2312" w:hint="eastAsia"/>
          <w:bCs/>
          <w:kern w:val="0"/>
          <w:sz w:val="24"/>
          <w:szCs w:val="24"/>
        </w:rPr>
        <w:instrText xml:space="preserve"> = 3 \* GB3 </w:instrText>
      </w:r>
      <w:r w:rsidRPr="007D3BDA">
        <w:rPr>
          <w:rFonts w:ascii="仿宋_GB2312" w:eastAsia="仿宋_GB2312" w:hAnsi="仿宋_GB2312" w:cs="仿宋_GB2312" w:hint="eastAsia"/>
          <w:bCs/>
          <w:kern w:val="0"/>
          <w:sz w:val="24"/>
          <w:szCs w:val="24"/>
        </w:rPr>
        <w:fldChar w:fldCharType="separate"/>
      </w:r>
      <w:r w:rsidRPr="007D3BDA">
        <w:rPr>
          <w:rFonts w:ascii="仿宋_GB2312" w:eastAsia="仿宋_GB2312" w:hAnsi="仿宋_GB2312" w:cs="仿宋_GB2312" w:hint="eastAsia"/>
          <w:bCs/>
          <w:kern w:val="0"/>
          <w:sz w:val="24"/>
          <w:szCs w:val="24"/>
        </w:rPr>
        <w:t>③</w:t>
      </w:r>
      <w:r w:rsidRPr="007D3BDA">
        <w:rPr>
          <w:rFonts w:ascii="仿宋_GB2312" w:eastAsia="仿宋_GB2312" w:hAnsi="仿宋_GB2312" w:cs="仿宋_GB2312" w:hint="eastAsia"/>
          <w:bCs/>
          <w:kern w:val="0"/>
          <w:sz w:val="24"/>
          <w:szCs w:val="24"/>
        </w:rPr>
        <w:fldChar w:fldCharType="end"/>
      </w:r>
      <w:r w:rsidRPr="007D3BDA">
        <w:rPr>
          <w:rFonts w:ascii="仿宋_GB2312" w:eastAsia="仿宋_GB2312" w:hAnsi="仿宋_GB2312" w:cs="仿宋_GB2312" w:hint="eastAsia"/>
          <w:bCs/>
          <w:kern w:val="0"/>
          <w:sz w:val="24"/>
          <w:szCs w:val="24"/>
        </w:rPr>
        <w:t xml:space="preserve"> 科研成果奖中序号为6、7、8的奖项要求考生的署名分别位列前三、前二和第一；</w:t>
      </w:r>
      <w:r w:rsidRPr="007D3BDA">
        <w:rPr>
          <w:rFonts w:ascii="仿宋_GB2312" w:eastAsia="仿宋_GB2312" w:hAnsi="仿宋_GB2312" w:cs="仿宋_GB2312" w:hint="eastAsia"/>
          <w:bCs/>
          <w:kern w:val="0"/>
          <w:sz w:val="24"/>
          <w:szCs w:val="24"/>
        </w:rPr>
        <w:fldChar w:fldCharType="begin"/>
      </w:r>
      <w:r w:rsidRPr="007D3BDA">
        <w:rPr>
          <w:rFonts w:ascii="仿宋_GB2312" w:eastAsia="仿宋_GB2312" w:hAnsi="仿宋_GB2312" w:cs="仿宋_GB2312" w:hint="eastAsia"/>
          <w:bCs/>
          <w:kern w:val="0"/>
          <w:sz w:val="24"/>
          <w:szCs w:val="24"/>
        </w:rPr>
        <w:instrText xml:space="preserve"> = 4 \* GB3 </w:instrText>
      </w:r>
      <w:r w:rsidRPr="007D3BDA">
        <w:rPr>
          <w:rFonts w:ascii="仿宋_GB2312" w:eastAsia="仿宋_GB2312" w:hAnsi="仿宋_GB2312" w:cs="仿宋_GB2312" w:hint="eastAsia"/>
          <w:bCs/>
          <w:kern w:val="0"/>
          <w:sz w:val="24"/>
          <w:szCs w:val="24"/>
        </w:rPr>
        <w:fldChar w:fldCharType="separate"/>
      </w:r>
      <w:r w:rsidRPr="007D3BDA">
        <w:rPr>
          <w:rFonts w:ascii="仿宋_GB2312" w:eastAsia="仿宋_GB2312" w:hAnsi="仿宋_GB2312" w:cs="仿宋_GB2312" w:hint="eastAsia"/>
          <w:bCs/>
          <w:kern w:val="0"/>
          <w:sz w:val="24"/>
          <w:szCs w:val="24"/>
        </w:rPr>
        <w:t>④</w:t>
      </w:r>
      <w:r w:rsidRPr="007D3BDA">
        <w:rPr>
          <w:rFonts w:ascii="仿宋_GB2312" w:eastAsia="仿宋_GB2312" w:hAnsi="仿宋_GB2312" w:cs="仿宋_GB2312" w:hint="eastAsia"/>
          <w:bCs/>
          <w:kern w:val="0"/>
          <w:sz w:val="24"/>
          <w:szCs w:val="24"/>
        </w:rPr>
        <w:fldChar w:fldCharType="end"/>
      </w:r>
      <w:r w:rsidRPr="007D3BDA">
        <w:rPr>
          <w:rFonts w:ascii="仿宋_GB2312" w:eastAsia="仿宋_GB2312" w:hAnsi="仿宋_GB2312" w:cs="仿宋_GB2312" w:hint="eastAsia"/>
          <w:bCs/>
          <w:kern w:val="0"/>
          <w:sz w:val="24"/>
          <w:szCs w:val="24"/>
        </w:rPr>
        <w:t xml:space="preserve"> 决策咨询采纳9、10要求考生的署名分别位列前三，决策咨询采纳11要求考生的署名分别位列前二；⑤科研项目要求考生为主持人。</w:t>
      </w:r>
    </w:p>
    <w:p w14:paraId="01D35918" w14:textId="77777777" w:rsidR="00E3323E" w:rsidRDefault="00C049DE">
      <w:pPr>
        <w:widowControl/>
        <w:shd w:val="clear" w:color="auto" w:fill="FFFFFF"/>
        <w:autoSpaceDE w:val="0"/>
        <w:spacing w:line="360" w:lineRule="auto"/>
        <w:ind w:firstLineChars="200" w:firstLine="480"/>
        <w:jc w:val="left"/>
        <w:rPr>
          <w:rFonts w:ascii="仿宋_GB2312" w:eastAsia="仿宋_GB2312" w:hAnsi="仿宋_GB2312" w:cs="仿宋_GB2312"/>
          <w:bCs/>
          <w:kern w:val="0"/>
          <w:sz w:val="24"/>
          <w:szCs w:val="24"/>
        </w:rPr>
      </w:pPr>
      <w:r w:rsidRPr="007D3BDA">
        <w:rPr>
          <w:rFonts w:ascii="仿宋_GB2312" w:eastAsia="仿宋_GB2312" w:hAnsi="仿宋_GB2312" w:cs="仿宋_GB2312" w:hint="eastAsia"/>
          <w:bCs/>
          <w:kern w:val="0"/>
          <w:sz w:val="24"/>
          <w:szCs w:val="24"/>
        </w:rPr>
        <w:lastRenderedPageBreak/>
        <w:t>表1中学术论文级别的认定以经济与管理学院最新版“高质量论文”及“重要创新性科研成果”认定目录为准，国家级出版社</w:t>
      </w:r>
      <w:r>
        <w:rPr>
          <w:rFonts w:ascii="仿宋_GB2312" w:eastAsia="仿宋_GB2312" w:hAnsi="仿宋_GB2312" w:cs="仿宋_GB2312" w:hint="eastAsia"/>
          <w:bCs/>
          <w:kern w:val="0"/>
          <w:sz w:val="24"/>
          <w:szCs w:val="24"/>
        </w:rPr>
        <w:t>的认定以福建农林大学认定的最新版国家级出版社目录为准，科研项目级别认定以福建农林大学最新规定为准（不含横向项目）。</w:t>
      </w:r>
    </w:p>
    <w:p w14:paraId="240D9189" w14:textId="77777777" w:rsidR="00E3323E" w:rsidRDefault="00C049DE">
      <w:pPr>
        <w:widowControl/>
        <w:shd w:val="clear" w:color="auto" w:fill="FFFFFF"/>
        <w:autoSpaceDE w:val="0"/>
        <w:spacing w:line="360" w:lineRule="auto"/>
        <w:ind w:firstLineChars="200" w:firstLine="480"/>
        <w:jc w:val="left"/>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学术成果评分按就高不重复原则，题目相同的同种类型成果按最高评分标准计分。</w:t>
      </w:r>
    </w:p>
    <w:p w14:paraId="379507DE" w14:textId="77777777" w:rsidR="00E3323E" w:rsidRDefault="00E3323E">
      <w:pPr>
        <w:widowControl/>
        <w:shd w:val="clear" w:color="auto" w:fill="FFFFFF"/>
        <w:autoSpaceDE w:val="0"/>
        <w:spacing w:line="360" w:lineRule="auto"/>
        <w:ind w:firstLine="480"/>
        <w:jc w:val="left"/>
        <w:rPr>
          <w:rFonts w:ascii="仿宋_GB2312" w:eastAsia="仿宋_GB2312" w:hAnsi="仿宋_GB2312" w:cs="仿宋_GB2312"/>
          <w:b/>
          <w:kern w:val="0"/>
          <w:sz w:val="30"/>
          <w:szCs w:val="30"/>
        </w:rPr>
      </w:pPr>
    </w:p>
    <w:p w14:paraId="6B5BAAFC" w14:textId="77777777" w:rsidR="00E3323E" w:rsidRDefault="00C049DE">
      <w:pPr>
        <w:widowControl/>
        <w:shd w:val="clear" w:color="auto" w:fill="FFFFFF"/>
        <w:autoSpaceDE w:val="0"/>
        <w:spacing w:line="360" w:lineRule="auto"/>
        <w:ind w:firstLine="480"/>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（三）复试成绩计算</w:t>
      </w:r>
    </w:p>
    <w:p w14:paraId="36BB6F7F" w14:textId="77777777" w:rsidR="00E3323E" w:rsidRDefault="00C049DE">
      <w:pPr>
        <w:widowControl/>
        <w:shd w:val="clear" w:color="auto" w:fill="FFFFFF"/>
        <w:autoSpaceDE w:val="0"/>
        <w:spacing w:line="360" w:lineRule="auto"/>
        <w:ind w:firstLine="4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1.综合能力和英语面试成绩计算</w:t>
      </w:r>
    </w:p>
    <w:p w14:paraId="4FB12EFB" w14:textId="77777777" w:rsidR="00E3323E" w:rsidRDefault="00C049DE">
      <w:pPr>
        <w:widowControl/>
        <w:shd w:val="clear" w:color="auto" w:fill="FFFFFF"/>
        <w:autoSpaceDE w:val="0"/>
        <w:spacing w:line="360" w:lineRule="auto"/>
        <w:ind w:firstLine="4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综合能力和英语面试成绩均采用去掉一个最高分、去掉一个最低分，再取平均分的方法计算。</w:t>
      </w:r>
    </w:p>
    <w:p w14:paraId="5B6436D6" w14:textId="77777777" w:rsidR="00E3323E" w:rsidRDefault="00C049DE">
      <w:pPr>
        <w:widowControl/>
        <w:shd w:val="clear" w:color="auto" w:fill="FFFFFF"/>
        <w:autoSpaceDE w:val="0"/>
        <w:spacing w:line="360" w:lineRule="auto"/>
        <w:ind w:firstLine="4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2.复试成绩计算</w:t>
      </w:r>
    </w:p>
    <w:p w14:paraId="2E989FE9" w14:textId="77777777" w:rsidR="00E3323E" w:rsidRDefault="00C049DE">
      <w:pPr>
        <w:widowControl/>
        <w:shd w:val="clear" w:color="auto" w:fill="FFFFFF"/>
        <w:autoSpaceDE w:val="0"/>
        <w:spacing w:line="360" w:lineRule="auto"/>
        <w:ind w:firstLine="48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复试成绩采用百分制，满分100分，具体计算方法如下：</w:t>
      </w:r>
    </w:p>
    <w:p w14:paraId="303B8443" w14:textId="77777777" w:rsidR="00E3323E" w:rsidRDefault="00C049DE">
      <w:pPr>
        <w:widowControl/>
        <w:shd w:val="clear" w:color="auto" w:fill="FFFFFF"/>
        <w:autoSpaceDE w:val="0"/>
        <w:spacing w:line="360" w:lineRule="auto"/>
        <w:ind w:firstLine="480"/>
        <w:jc w:val="left"/>
        <w:rPr>
          <w:rFonts w:ascii="仿宋_GB2312" w:eastAsia="仿宋_GB2312" w:hAnsi="仿宋_GB2312" w:cs="仿宋_GB2312"/>
          <w:kern w:val="0"/>
          <w:sz w:val="30"/>
          <w:szCs w:val="30"/>
        </w:rPr>
      </w:pPr>
      <w:r>
        <w:rPr>
          <w:rFonts w:ascii="仿宋_GB2312" w:eastAsia="仿宋_GB2312" w:hAnsi="仿宋_GB2312" w:cs="仿宋_GB2312" w:hint="eastAsia"/>
          <w:b/>
          <w:kern w:val="0"/>
          <w:sz w:val="30"/>
          <w:szCs w:val="30"/>
        </w:rPr>
        <w:t>（1）</w:t>
      </w:r>
      <w:proofErr w:type="gramStart"/>
      <w:r>
        <w:rPr>
          <w:rFonts w:ascii="仿宋_GB2312" w:eastAsia="仿宋_GB2312" w:hAnsi="仿宋_GB2312" w:cs="仿宋_GB2312" w:hint="eastAsia"/>
          <w:b/>
          <w:kern w:val="0"/>
          <w:sz w:val="30"/>
          <w:szCs w:val="30"/>
        </w:rPr>
        <w:t>非硕博</w:t>
      </w:r>
      <w:proofErr w:type="gramEnd"/>
      <w:r>
        <w:rPr>
          <w:rFonts w:ascii="仿宋_GB2312" w:eastAsia="仿宋_GB2312" w:hAnsi="仿宋_GB2312" w:cs="仿宋_GB2312" w:hint="eastAsia"/>
          <w:b/>
          <w:kern w:val="0"/>
          <w:sz w:val="30"/>
          <w:szCs w:val="30"/>
        </w:rPr>
        <w:t>连读考生</w:t>
      </w:r>
    </w:p>
    <w:p w14:paraId="764DD747"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复试成绩=0.4×综合能力面试成绩＋0.05×英语面试成绩＋0.35×专业知识笔试成绩＋学术能力考核成绩</w:t>
      </w:r>
    </w:p>
    <w:p w14:paraId="2348AFF0"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（2）硕博连读考生</w:t>
      </w:r>
    </w:p>
    <w:p w14:paraId="36924874"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复试成绩=0.5×综合能力面试成绩＋0.05×英语面试成绩＋0.45×专业知识笔试成绩</w:t>
      </w:r>
    </w:p>
    <w:p w14:paraId="24F261CF"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（四）其他说明</w:t>
      </w:r>
    </w:p>
    <w:p w14:paraId="019F099C"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1.硕博连读考生可以申请</w:t>
      </w:r>
      <w:proofErr w:type="gramStart"/>
      <w:r>
        <w:rPr>
          <w:rFonts w:ascii="仿宋_GB2312" w:eastAsia="仿宋_GB2312" w:hAnsi="仿宋_GB2312" w:cs="仿宋_GB2312" w:hint="eastAsia"/>
          <w:kern w:val="0"/>
          <w:sz w:val="30"/>
          <w:szCs w:val="30"/>
        </w:rPr>
        <w:t>以非硕博</w:t>
      </w:r>
      <w:proofErr w:type="gramEnd"/>
      <w:r>
        <w:rPr>
          <w:rFonts w:ascii="仿宋_GB2312" w:eastAsia="仿宋_GB2312" w:hAnsi="仿宋_GB2312" w:cs="仿宋_GB2312" w:hint="eastAsia"/>
          <w:kern w:val="0"/>
          <w:sz w:val="30"/>
          <w:szCs w:val="30"/>
        </w:rPr>
        <w:t>连读考生的复试考核办法进行复试考核，但须在复试材料提交截止日前向学院提出申请，申请一经同意不得撤销。</w:t>
      </w:r>
    </w:p>
    <w:p w14:paraId="4D405D1E" w14:textId="77777777" w:rsidR="00E3323E" w:rsidRDefault="00C049DE">
      <w:pPr>
        <w:widowControl/>
        <w:shd w:val="clear" w:color="auto" w:fill="FFFFFF"/>
        <w:autoSpaceDE w:val="0"/>
        <w:spacing w:line="360" w:lineRule="auto"/>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2.复试时先进行综合能力和英语面试，再进行专业知识笔试。</w:t>
      </w:r>
    </w:p>
    <w:p w14:paraId="394131A0" w14:textId="77777777" w:rsidR="00E3323E" w:rsidRDefault="00C049DE">
      <w:pPr>
        <w:pStyle w:val="a7"/>
        <w:shd w:val="clear" w:color="auto" w:fill="FFFFFF"/>
        <w:spacing w:beforeLines="50" w:before="156" w:beforeAutospacing="0" w:afterLines="50" w:after="156" w:afterAutospacing="0" w:line="360" w:lineRule="auto"/>
        <w:rPr>
          <w:rStyle w:val="a9"/>
          <w:rFonts w:ascii="仿宋_GB2312" w:eastAsia="仿宋_GB2312" w:hAnsi="仿宋_GB2312" w:cs="仿宋_GB2312"/>
          <w:sz w:val="30"/>
          <w:szCs w:val="30"/>
        </w:rPr>
      </w:pPr>
      <w:r>
        <w:rPr>
          <w:rStyle w:val="a9"/>
          <w:rFonts w:ascii="仿宋_GB2312" w:eastAsia="仿宋_GB2312" w:hAnsi="仿宋_GB2312" w:cs="仿宋_GB2312" w:hint="eastAsia"/>
          <w:sz w:val="30"/>
          <w:szCs w:val="30"/>
        </w:rPr>
        <w:t>四、指标分配与录取</w:t>
      </w:r>
    </w:p>
    <w:p w14:paraId="15199162"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b/>
          <w:sz w:val="30"/>
          <w:szCs w:val="30"/>
        </w:rPr>
      </w:pPr>
      <w:r>
        <w:rPr>
          <w:rFonts w:ascii="仿宋_GB2312" w:eastAsia="仿宋_GB2312" w:hAnsi="仿宋_GB2312" w:cs="仿宋_GB2312" w:hint="eastAsia"/>
          <w:b/>
          <w:sz w:val="30"/>
          <w:szCs w:val="30"/>
        </w:rPr>
        <w:t>（一）招生指标分配</w:t>
      </w:r>
    </w:p>
    <w:p w14:paraId="10EB104E" w14:textId="77777777" w:rsidR="00E3323E" w:rsidRPr="007D3BDA"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sidRPr="007D3BDA">
        <w:rPr>
          <w:rFonts w:ascii="仿宋_GB2312" w:eastAsia="仿宋_GB2312" w:hAnsi="仿宋_GB2312" w:cs="仿宋_GB2312" w:hint="eastAsia"/>
          <w:sz w:val="30"/>
          <w:szCs w:val="30"/>
        </w:rPr>
        <w:t>1.招生指标按非在职类型和在职类型分配，但不分到具体二级学科专业，在职类型招生指标原则上不超过3个。</w:t>
      </w:r>
    </w:p>
    <w:p w14:paraId="24DD408D"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2.当招生指标不超过导师人数时，每位导师的招生名额原则上不超过1个（含非在职类型和在职类型），当招生指标超过导师人数时，每位导师的招生名额原则上不超过2个（含非在职类型和在职类型）。</w:t>
      </w:r>
    </w:p>
    <w:p w14:paraId="57022E3F"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b/>
          <w:sz w:val="30"/>
          <w:szCs w:val="30"/>
        </w:rPr>
      </w:pPr>
      <w:r>
        <w:rPr>
          <w:rFonts w:ascii="仿宋_GB2312" w:eastAsia="仿宋_GB2312" w:hAnsi="仿宋_GB2312" w:cs="仿宋_GB2312" w:hint="eastAsia"/>
          <w:b/>
          <w:sz w:val="30"/>
          <w:szCs w:val="30"/>
        </w:rPr>
        <w:t>（二）考生录取</w:t>
      </w:r>
    </w:p>
    <w:p w14:paraId="09B51C9A"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考生的录取遵循以下规则：</w:t>
      </w:r>
    </w:p>
    <w:p w14:paraId="04170123"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第一步：对所有参加复试的考生以导师为单位按复试成绩从高到低排序（非在职类型和在职类型考生分开）。</w:t>
      </w:r>
    </w:p>
    <w:p w14:paraId="0193503E"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b/>
          <w:sz w:val="30"/>
          <w:szCs w:val="30"/>
        </w:rPr>
      </w:pPr>
      <w:r>
        <w:rPr>
          <w:rFonts w:ascii="仿宋_GB2312" w:eastAsia="仿宋_GB2312" w:hAnsi="仿宋_GB2312" w:cs="仿宋_GB2312" w:hint="eastAsia"/>
          <w:sz w:val="30"/>
          <w:szCs w:val="30"/>
        </w:rPr>
        <w:t>第二步：分别对导师名下排序第一、第二、第三的所有考生按复试成绩从高到</w:t>
      </w:r>
      <w:proofErr w:type="gramStart"/>
      <w:r>
        <w:rPr>
          <w:rFonts w:ascii="仿宋_GB2312" w:eastAsia="仿宋_GB2312" w:hAnsi="仿宋_GB2312" w:cs="仿宋_GB2312" w:hint="eastAsia"/>
          <w:sz w:val="30"/>
          <w:szCs w:val="30"/>
        </w:rPr>
        <w:t>低重新</w:t>
      </w:r>
      <w:proofErr w:type="gramEnd"/>
      <w:r>
        <w:rPr>
          <w:rFonts w:ascii="仿宋_GB2312" w:eastAsia="仿宋_GB2312" w:hAnsi="仿宋_GB2312" w:cs="仿宋_GB2312" w:hint="eastAsia"/>
          <w:sz w:val="30"/>
          <w:szCs w:val="30"/>
        </w:rPr>
        <w:t>排序（非在职类型和在职类型分开），产生非在职类型第一名考生序列（Q1）、第二名考生序列（Q2）、第三名考生序列（Q3），以及在职类型第一名考生序列（F1）、第二名考生序列（F2）、第三名考生序列（F3）。分别按Q1-Q2-Q3</w:t>
      </w:r>
      <w:r>
        <w:rPr>
          <w:rFonts w:ascii="仿宋_GB2312" w:eastAsia="仿宋_GB2312" w:hAnsi="仿宋_GB2312" w:cs="仿宋_GB2312" w:hint="eastAsia"/>
          <w:sz w:val="30"/>
          <w:szCs w:val="30"/>
        </w:rPr>
        <w:lastRenderedPageBreak/>
        <w:t>和F1-F2-F3的顺序得到非在职类型考生和在职类型考生的录取优先权排序（分别记为Q和F）。</w:t>
      </w:r>
    </w:p>
    <w:p w14:paraId="0B7A1AAA"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第三步：根据非在职类型和在职类型招生指标，分别按照Q和F中的排序将考生依次拟录取到所报考导师名下，得到考生拟录取序列A，若同一导师</w:t>
      </w:r>
      <w:proofErr w:type="gramStart"/>
      <w:r>
        <w:rPr>
          <w:rFonts w:ascii="仿宋_GB2312" w:eastAsia="仿宋_GB2312" w:hAnsi="仿宋_GB2312" w:cs="仿宋_GB2312" w:hint="eastAsia"/>
          <w:sz w:val="30"/>
          <w:szCs w:val="30"/>
        </w:rPr>
        <w:t>名下被拟录取</w:t>
      </w:r>
      <w:proofErr w:type="gramEnd"/>
      <w:r>
        <w:rPr>
          <w:rFonts w:ascii="仿宋_GB2312" w:eastAsia="仿宋_GB2312" w:hAnsi="仿宋_GB2312" w:cs="仿宋_GB2312" w:hint="eastAsia"/>
          <w:sz w:val="30"/>
          <w:szCs w:val="30"/>
        </w:rPr>
        <w:t>的考生总数超过招生指标限额，则相同类型的考生（同为非在职类型或在职类型）优先录取Q或F中排序靠前的，不同类型的考生由导师做出选择，未被录取的考生从A中移除，空缺的名额分别按照Q和F中的排序依次递补。</w:t>
      </w:r>
    </w:p>
    <w:p w14:paraId="665DB1D1"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若有新增招生指标，则按上述流程录取。</w:t>
      </w:r>
    </w:p>
    <w:p w14:paraId="337B7DE6"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若经过以上录取过程之后还有招生指标剩余（如有些导师没有考生报考或名下报考的考生全部放弃），则对未录取的考生按复试成绩从高到</w:t>
      </w:r>
      <w:proofErr w:type="gramStart"/>
      <w:r>
        <w:rPr>
          <w:rFonts w:ascii="仿宋_GB2312" w:eastAsia="仿宋_GB2312" w:hAnsi="仿宋_GB2312" w:cs="仿宋_GB2312" w:hint="eastAsia"/>
          <w:sz w:val="30"/>
          <w:szCs w:val="30"/>
        </w:rPr>
        <w:t>低重新</w:t>
      </w:r>
      <w:proofErr w:type="gramEnd"/>
      <w:r>
        <w:rPr>
          <w:rFonts w:ascii="仿宋_GB2312" w:eastAsia="仿宋_GB2312" w:hAnsi="仿宋_GB2312" w:cs="仿宋_GB2312" w:hint="eastAsia"/>
          <w:sz w:val="30"/>
          <w:szCs w:val="30"/>
        </w:rPr>
        <w:t>排序（非在职类型和在职类型分开），按照师生双向选择原则依次调剂录取到有招生名额的导师名下。</w:t>
      </w:r>
    </w:p>
    <w:p w14:paraId="2399AFFB"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b/>
          <w:sz w:val="30"/>
          <w:szCs w:val="30"/>
        </w:rPr>
        <w:t>（三）其他说明</w:t>
      </w:r>
    </w:p>
    <w:p w14:paraId="5A00F857"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1.复试成绩低于60分者不予录取。</w:t>
      </w:r>
    </w:p>
    <w:p w14:paraId="7243F85F"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2.硕博连读考生</w:t>
      </w:r>
      <w:proofErr w:type="gramStart"/>
      <w:r>
        <w:rPr>
          <w:rFonts w:ascii="仿宋_GB2312" w:eastAsia="仿宋_GB2312" w:hAnsi="仿宋_GB2312" w:cs="仿宋_GB2312" w:hint="eastAsia"/>
          <w:sz w:val="30"/>
          <w:szCs w:val="30"/>
        </w:rPr>
        <w:t>和非硕博</w:t>
      </w:r>
      <w:proofErr w:type="gramEnd"/>
      <w:r>
        <w:rPr>
          <w:rFonts w:ascii="仿宋_GB2312" w:eastAsia="仿宋_GB2312" w:hAnsi="仿宋_GB2312" w:cs="仿宋_GB2312" w:hint="eastAsia"/>
          <w:sz w:val="30"/>
          <w:szCs w:val="30"/>
        </w:rPr>
        <w:t>连读考生按复试成绩一起参与排序。</w:t>
      </w:r>
    </w:p>
    <w:p w14:paraId="349C3B64"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3.复试成绩相同的考生排序依次参照专业知识笔试成绩、综合能力面试成绩、英语面试成绩从高到低确定。</w:t>
      </w:r>
    </w:p>
    <w:p w14:paraId="689F2DF0"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4.若考生在拟录取名单公示之前放弃录取资格，则对所报考导师名下的考生排序进行相应调整并按上述录取规则重新确定拟录取名单。</w:t>
      </w:r>
    </w:p>
    <w:p w14:paraId="3DB23C62"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5.若考生在拟录取名单公示之后放弃录取资格，则在招生指标可用的情况下，视作新增招生指标，并按上述录取规则补录。</w:t>
      </w:r>
    </w:p>
    <w:p w14:paraId="79C36087" w14:textId="77777777" w:rsidR="00E3323E" w:rsidRDefault="00C049DE">
      <w:pPr>
        <w:pStyle w:val="a7"/>
        <w:shd w:val="clear" w:color="auto" w:fill="FFFFFF"/>
        <w:spacing w:before="0" w:beforeAutospacing="0" w:after="0" w:afterAutospacing="0"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6.考生调剂优先考虑未招到学生的导师。</w:t>
      </w:r>
    </w:p>
    <w:p w14:paraId="575B0E95" w14:textId="77777777" w:rsidR="00E3323E" w:rsidRDefault="00C049DE">
      <w:pPr>
        <w:pStyle w:val="a7"/>
        <w:shd w:val="clear" w:color="auto" w:fill="FFFFFF"/>
        <w:spacing w:beforeLines="50" w:before="156" w:beforeAutospacing="0" w:afterLines="50" w:after="156" w:afterAutospacing="0" w:line="360" w:lineRule="auto"/>
        <w:rPr>
          <w:rStyle w:val="a9"/>
          <w:rFonts w:ascii="仿宋_GB2312" w:eastAsia="仿宋_GB2312" w:hAnsi="仿宋_GB2312" w:cs="仿宋_GB2312"/>
          <w:sz w:val="30"/>
          <w:szCs w:val="30"/>
        </w:rPr>
      </w:pPr>
      <w:r>
        <w:rPr>
          <w:rStyle w:val="a9"/>
          <w:rFonts w:ascii="仿宋_GB2312" w:eastAsia="仿宋_GB2312" w:hAnsi="仿宋_GB2312" w:cs="仿宋_GB2312" w:hint="eastAsia"/>
          <w:sz w:val="30"/>
          <w:szCs w:val="30"/>
        </w:rPr>
        <w:t>五、其他</w:t>
      </w:r>
    </w:p>
    <w:p w14:paraId="5B4B4790" w14:textId="77777777" w:rsidR="00E3323E" w:rsidRDefault="00C049DE">
      <w:pPr>
        <w:pStyle w:val="a7"/>
        <w:shd w:val="clear" w:color="auto" w:fill="FFFFFF"/>
        <w:spacing w:before="0" w:beforeAutospacing="0" w:after="0" w:afterAutospacing="0" w:line="360" w:lineRule="auto"/>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（一）本办法由福建农林大学经济与管理学院党政联席会议负责解释，未尽事宜，由福建农林大学经济与管理学院党政联席会议讨论决定。</w:t>
      </w:r>
    </w:p>
    <w:p w14:paraId="72054C8E" w14:textId="77777777" w:rsidR="00E3323E" w:rsidRDefault="00C049DE">
      <w:pPr>
        <w:pStyle w:val="a7"/>
        <w:shd w:val="clear" w:color="auto" w:fill="FFFFFF"/>
        <w:spacing w:before="0" w:beforeAutospacing="0" w:after="0" w:afterAutospacing="0" w:line="360" w:lineRule="auto"/>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（二）本办法如与上级文件不符，以上级文件规定为准。</w:t>
      </w:r>
    </w:p>
    <w:p w14:paraId="5056DD58" w14:textId="77777777" w:rsidR="00E3323E" w:rsidRDefault="00C049DE">
      <w:pPr>
        <w:pStyle w:val="a7"/>
        <w:shd w:val="clear" w:color="auto" w:fill="FFFFFF"/>
        <w:spacing w:before="0" w:beforeAutospacing="0" w:after="0" w:afterAutospacing="0" w:line="360" w:lineRule="auto"/>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（三）</w:t>
      </w:r>
      <w:r>
        <w:rPr>
          <w:rFonts w:ascii="仿宋_GB2312" w:eastAsia="仿宋_GB2312" w:hAnsi="仿宋_GB2312" w:cs="仿宋_GB2312" w:hint="eastAsia"/>
          <w:spacing w:val="-6"/>
          <w:sz w:val="30"/>
          <w:szCs w:val="30"/>
        </w:rPr>
        <w:t>本办法的适用范围仅限于福建农林大学经济与管理学院。</w:t>
      </w:r>
    </w:p>
    <w:p w14:paraId="2F765941" w14:textId="77777777" w:rsidR="00E3323E" w:rsidRDefault="00C049DE">
      <w:pPr>
        <w:pStyle w:val="a7"/>
        <w:shd w:val="clear" w:color="auto" w:fill="FFFFFF"/>
        <w:spacing w:before="0" w:beforeAutospacing="0" w:after="0" w:afterAutospacing="0" w:line="360" w:lineRule="auto"/>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（四）</w:t>
      </w:r>
      <w:r>
        <w:rPr>
          <w:rFonts w:ascii="仿宋_GB2312" w:eastAsia="仿宋_GB2312" w:hAnsi="仿宋_GB2312" w:cs="仿宋_GB2312" w:hint="eastAsia"/>
          <w:spacing w:val="-11"/>
          <w:sz w:val="30"/>
          <w:szCs w:val="30"/>
        </w:rPr>
        <w:t>本办法自通过之日起开始执行，其他相关文件同时废止。</w:t>
      </w:r>
    </w:p>
    <w:p w14:paraId="6A4AD5BF" w14:textId="77777777" w:rsidR="00E3323E" w:rsidRDefault="00C049DE">
      <w:pPr>
        <w:pStyle w:val="a7"/>
        <w:shd w:val="clear" w:color="auto" w:fill="FFFFFF"/>
        <w:spacing w:before="0" w:beforeAutospacing="0" w:after="0" w:afterAutospacing="0" w:line="360" w:lineRule="auto"/>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（五）《经济学综合》考试参考书目：《微观经济学现代观点》（哈尔R. 范里安著；费方域，朱保华等译，格致出版社/上海三联书店/上海人民出版社，第九版），《宏观经济学》(N.格里高利·</w:t>
      </w:r>
      <w:proofErr w:type="gramStart"/>
      <w:r>
        <w:rPr>
          <w:rFonts w:ascii="仿宋_GB2312" w:eastAsia="仿宋_GB2312" w:hAnsi="仿宋_GB2312" w:cs="仿宋_GB2312" w:hint="eastAsia"/>
          <w:sz w:val="30"/>
          <w:szCs w:val="30"/>
        </w:rPr>
        <w:t>曼</w:t>
      </w:r>
      <w:proofErr w:type="gramEnd"/>
      <w:r>
        <w:rPr>
          <w:rFonts w:ascii="仿宋_GB2312" w:eastAsia="仿宋_GB2312" w:hAnsi="仿宋_GB2312" w:cs="仿宋_GB2312" w:hint="eastAsia"/>
          <w:sz w:val="30"/>
          <w:szCs w:val="30"/>
        </w:rPr>
        <w:t xml:space="preserve">昆著； 卢远瞩译，中国人民大学出版社，第十版）。 </w:t>
      </w:r>
    </w:p>
    <w:p w14:paraId="53F6F6FF" w14:textId="77777777" w:rsidR="00E3323E" w:rsidRDefault="00E3323E">
      <w:pPr>
        <w:pStyle w:val="a7"/>
        <w:shd w:val="clear" w:color="auto" w:fill="FFFFFF"/>
        <w:spacing w:before="0" w:beforeAutospacing="0" w:after="0" w:afterAutospacing="0" w:line="360" w:lineRule="auto"/>
        <w:ind w:firstLine="560"/>
        <w:rPr>
          <w:rFonts w:ascii="仿宋_GB2312" w:eastAsia="仿宋_GB2312" w:hAnsi="仿宋_GB2312" w:cs="仿宋_GB2312"/>
          <w:sz w:val="30"/>
          <w:szCs w:val="30"/>
        </w:rPr>
      </w:pPr>
    </w:p>
    <w:p w14:paraId="446E8315" w14:textId="77777777" w:rsidR="00E3323E" w:rsidRDefault="00E3323E">
      <w:pPr>
        <w:pStyle w:val="a7"/>
        <w:shd w:val="clear" w:color="auto" w:fill="FFFFFF"/>
        <w:spacing w:before="0" w:beforeAutospacing="0" w:after="0" w:afterAutospacing="0" w:line="360" w:lineRule="auto"/>
        <w:ind w:firstLine="560"/>
        <w:rPr>
          <w:rFonts w:ascii="仿宋_GB2312" w:eastAsia="仿宋_GB2312" w:hAnsi="仿宋_GB2312" w:cs="仿宋_GB2312"/>
          <w:sz w:val="30"/>
          <w:szCs w:val="30"/>
        </w:rPr>
      </w:pPr>
    </w:p>
    <w:p w14:paraId="5EA78C6D" w14:textId="77777777" w:rsidR="00E3323E" w:rsidRDefault="00C049DE">
      <w:pPr>
        <w:spacing w:line="360" w:lineRule="auto"/>
        <w:ind w:firstLineChars="200" w:firstLine="600"/>
        <w:jc w:val="righ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福建农林大学经济与管理学院</w:t>
      </w:r>
    </w:p>
    <w:p w14:paraId="5CC31C98" w14:textId="77777777" w:rsidR="00E3323E" w:rsidRDefault="00C049DE">
      <w:pPr>
        <w:spacing w:line="360" w:lineRule="auto"/>
        <w:ind w:right="480" w:firstLineChars="200" w:firstLine="600"/>
        <w:jc w:val="right"/>
        <w:rPr>
          <w:rFonts w:ascii="Times New Roman" w:eastAsia="楷体" w:hAnsi="Times New Roman" w:cs="Times New Roman"/>
          <w:kern w:val="0"/>
          <w:sz w:val="30"/>
          <w:szCs w:val="30"/>
        </w:rPr>
      </w:pPr>
      <w:r>
        <w:rPr>
          <w:rFonts w:ascii="仿宋_GB2312" w:eastAsia="仿宋_GB2312" w:hAnsi="仿宋_GB2312" w:cs="仿宋_GB2312" w:hint="eastAsia"/>
          <w:kern w:val="0"/>
          <w:sz w:val="30"/>
          <w:szCs w:val="30"/>
        </w:rPr>
        <w:t>2024年 12月12日</w:t>
      </w:r>
    </w:p>
    <w:sectPr w:rsidR="00E3323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61A6" w14:textId="77777777" w:rsidR="00E406C3" w:rsidRDefault="00E406C3">
      <w:r>
        <w:separator/>
      </w:r>
    </w:p>
  </w:endnote>
  <w:endnote w:type="continuationSeparator" w:id="0">
    <w:p w14:paraId="4C06181D" w14:textId="77777777" w:rsidR="00E406C3" w:rsidRDefault="00E4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79094"/>
    </w:sdtPr>
    <w:sdtEndPr/>
    <w:sdtContent>
      <w:p w14:paraId="55B53106" w14:textId="77777777" w:rsidR="00E3323E" w:rsidRDefault="00C049DE">
        <w:pPr>
          <w:pStyle w:val="a3"/>
          <w:jc w:val="cente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7D3BDA" w:rsidRPr="007D3BDA">
          <w:rPr>
            <w:rFonts w:ascii="Times New Roman" w:hAnsi="Times New Roman" w:cs="Times New Roman"/>
            <w:noProof/>
            <w:sz w:val="21"/>
            <w:szCs w:val="21"/>
            <w:lang w:val="zh-CN"/>
          </w:rPr>
          <w:t>8</w:t>
        </w:r>
        <w:r>
          <w:rPr>
            <w:rFonts w:ascii="Times New Roman" w:hAnsi="Times New Roman" w:cs="Times New Roman"/>
            <w:sz w:val="21"/>
            <w:szCs w:val="21"/>
          </w:rPr>
          <w:fldChar w:fldCharType="end"/>
        </w:r>
      </w:p>
    </w:sdtContent>
  </w:sdt>
  <w:p w14:paraId="2326932A" w14:textId="77777777" w:rsidR="00E3323E" w:rsidRDefault="00E332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3B92B" w14:textId="77777777" w:rsidR="00E406C3" w:rsidRDefault="00E406C3">
      <w:r>
        <w:separator/>
      </w:r>
    </w:p>
  </w:footnote>
  <w:footnote w:type="continuationSeparator" w:id="0">
    <w:p w14:paraId="02781B63" w14:textId="77777777" w:rsidR="00E406C3" w:rsidRDefault="00E40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B14"/>
    <w:rsid w:val="00002551"/>
    <w:rsid w:val="000035C8"/>
    <w:rsid w:val="00003932"/>
    <w:rsid w:val="000127CB"/>
    <w:rsid w:val="00013623"/>
    <w:rsid w:val="00014247"/>
    <w:rsid w:val="00026DE6"/>
    <w:rsid w:val="000342DE"/>
    <w:rsid w:val="00044CB5"/>
    <w:rsid w:val="000530CD"/>
    <w:rsid w:val="0005684E"/>
    <w:rsid w:val="00057CC8"/>
    <w:rsid w:val="00063903"/>
    <w:rsid w:val="00064627"/>
    <w:rsid w:val="00064C05"/>
    <w:rsid w:val="00070369"/>
    <w:rsid w:val="00070846"/>
    <w:rsid w:val="000709AE"/>
    <w:rsid w:val="00071FA1"/>
    <w:rsid w:val="00072862"/>
    <w:rsid w:val="00072D46"/>
    <w:rsid w:val="00073D2C"/>
    <w:rsid w:val="0007542A"/>
    <w:rsid w:val="00081027"/>
    <w:rsid w:val="000847CB"/>
    <w:rsid w:val="00086FF6"/>
    <w:rsid w:val="000924CF"/>
    <w:rsid w:val="00093213"/>
    <w:rsid w:val="00096552"/>
    <w:rsid w:val="000A1CF5"/>
    <w:rsid w:val="000A21B9"/>
    <w:rsid w:val="000A4368"/>
    <w:rsid w:val="000A4FF2"/>
    <w:rsid w:val="000B1B14"/>
    <w:rsid w:val="000B701E"/>
    <w:rsid w:val="000B7AD0"/>
    <w:rsid w:val="000C0197"/>
    <w:rsid w:val="000C5719"/>
    <w:rsid w:val="000D1559"/>
    <w:rsid w:val="000D1B71"/>
    <w:rsid w:val="000D3385"/>
    <w:rsid w:val="000D452E"/>
    <w:rsid w:val="000D5B67"/>
    <w:rsid w:val="000E172D"/>
    <w:rsid w:val="000E5F91"/>
    <w:rsid w:val="000E751B"/>
    <w:rsid w:val="001024A5"/>
    <w:rsid w:val="00112381"/>
    <w:rsid w:val="001206A5"/>
    <w:rsid w:val="001279F6"/>
    <w:rsid w:val="00130B60"/>
    <w:rsid w:val="00132F32"/>
    <w:rsid w:val="00136415"/>
    <w:rsid w:val="00141C13"/>
    <w:rsid w:val="001442BE"/>
    <w:rsid w:val="00144923"/>
    <w:rsid w:val="0014551F"/>
    <w:rsid w:val="00146B24"/>
    <w:rsid w:val="001567DE"/>
    <w:rsid w:val="00157395"/>
    <w:rsid w:val="001668C9"/>
    <w:rsid w:val="00173929"/>
    <w:rsid w:val="00173DBD"/>
    <w:rsid w:val="001828AE"/>
    <w:rsid w:val="00187990"/>
    <w:rsid w:val="00190245"/>
    <w:rsid w:val="00193854"/>
    <w:rsid w:val="00195B3D"/>
    <w:rsid w:val="00196105"/>
    <w:rsid w:val="00197EC2"/>
    <w:rsid w:val="001A140D"/>
    <w:rsid w:val="001A22CB"/>
    <w:rsid w:val="001A6975"/>
    <w:rsid w:val="001C2A27"/>
    <w:rsid w:val="001C3010"/>
    <w:rsid w:val="001C7B1C"/>
    <w:rsid w:val="001C7C2A"/>
    <w:rsid w:val="001D2BC6"/>
    <w:rsid w:val="001D7895"/>
    <w:rsid w:val="001E57E4"/>
    <w:rsid w:val="001F0456"/>
    <w:rsid w:val="001F418C"/>
    <w:rsid w:val="001F788F"/>
    <w:rsid w:val="002047E6"/>
    <w:rsid w:val="00215F33"/>
    <w:rsid w:val="00217021"/>
    <w:rsid w:val="00217BE3"/>
    <w:rsid w:val="00227C17"/>
    <w:rsid w:val="002329B6"/>
    <w:rsid w:val="00235DF5"/>
    <w:rsid w:val="00240D3A"/>
    <w:rsid w:val="00243467"/>
    <w:rsid w:val="002437D7"/>
    <w:rsid w:val="002446A3"/>
    <w:rsid w:val="00255316"/>
    <w:rsid w:val="00260963"/>
    <w:rsid w:val="00267B8D"/>
    <w:rsid w:val="002704CE"/>
    <w:rsid w:val="00274C87"/>
    <w:rsid w:val="00286068"/>
    <w:rsid w:val="002876E3"/>
    <w:rsid w:val="002933B3"/>
    <w:rsid w:val="002974BA"/>
    <w:rsid w:val="00297FFB"/>
    <w:rsid w:val="002A3010"/>
    <w:rsid w:val="002A417F"/>
    <w:rsid w:val="002B0893"/>
    <w:rsid w:val="002B198E"/>
    <w:rsid w:val="002B1BBD"/>
    <w:rsid w:val="002B5E61"/>
    <w:rsid w:val="002C2A1D"/>
    <w:rsid w:val="002C5DA6"/>
    <w:rsid w:val="002D4BA8"/>
    <w:rsid w:val="002F03F3"/>
    <w:rsid w:val="002F1BD0"/>
    <w:rsid w:val="002F50E9"/>
    <w:rsid w:val="00305AE8"/>
    <w:rsid w:val="00307B37"/>
    <w:rsid w:val="00313BA8"/>
    <w:rsid w:val="00314187"/>
    <w:rsid w:val="00315087"/>
    <w:rsid w:val="003159E4"/>
    <w:rsid w:val="0032035A"/>
    <w:rsid w:val="00326560"/>
    <w:rsid w:val="00332E5C"/>
    <w:rsid w:val="00334B30"/>
    <w:rsid w:val="00341FFF"/>
    <w:rsid w:val="00342B9F"/>
    <w:rsid w:val="00350FE4"/>
    <w:rsid w:val="00355611"/>
    <w:rsid w:val="00361BD0"/>
    <w:rsid w:val="00365ED6"/>
    <w:rsid w:val="00370133"/>
    <w:rsid w:val="003730D9"/>
    <w:rsid w:val="0037720B"/>
    <w:rsid w:val="003811EE"/>
    <w:rsid w:val="00382C7E"/>
    <w:rsid w:val="00393413"/>
    <w:rsid w:val="003A25EA"/>
    <w:rsid w:val="003A3834"/>
    <w:rsid w:val="003A74E9"/>
    <w:rsid w:val="003B3D11"/>
    <w:rsid w:val="003B4170"/>
    <w:rsid w:val="003B5E61"/>
    <w:rsid w:val="003C0B3B"/>
    <w:rsid w:val="003C1CDB"/>
    <w:rsid w:val="003C43E6"/>
    <w:rsid w:val="003D051E"/>
    <w:rsid w:val="003E0D0E"/>
    <w:rsid w:val="003E2EC2"/>
    <w:rsid w:val="003E5BCF"/>
    <w:rsid w:val="003E6661"/>
    <w:rsid w:val="003F6123"/>
    <w:rsid w:val="004029DC"/>
    <w:rsid w:val="004034C1"/>
    <w:rsid w:val="00405FF7"/>
    <w:rsid w:val="00421EEB"/>
    <w:rsid w:val="00425E66"/>
    <w:rsid w:val="00430B13"/>
    <w:rsid w:val="00434A3E"/>
    <w:rsid w:val="0044288B"/>
    <w:rsid w:val="00450F8F"/>
    <w:rsid w:val="00455D62"/>
    <w:rsid w:val="004633FD"/>
    <w:rsid w:val="004644D2"/>
    <w:rsid w:val="0046485B"/>
    <w:rsid w:val="00466665"/>
    <w:rsid w:val="00467507"/>
    <w:rsid w:val="00475A9C"/>
    <w:rsid w:val="00477893"/>
    <w:rsid w:val="00482217"/>
    <w:rsid w:val="00485EA9"/>
    <w:rsid w:val="00492032"/>
    <w:rsid w:val="00496683"/>
    <w:rsid w:val="00496C66"/>
    <w:rsid w:val="004A3AF5"/>
    <w:rsid w:val="004A7452"/>
    <w:rsid w:val="004B0D33"/>
    <w:rsid w:val="004C2DF1"/>
    <w:rsid w:val="004C5EBA"/>
    <w:rsid w:val="004D122D"/>
    <w:rsid w:val="004D1241"/>
    <w:rsid w:val="004D27FE"/>
    <w:rsid w:val="004D414F"/>
    <w:rsid w:val="004D4A11"/>
    <w:rsid w:val="004D63EC"/>
    <w:rsid w:val="004E35BD"/>
    <w:rsid w:val="004F0620"/>
    <w:rsid w:val="004F479C"/>
    <w:rsid w:val="004F72B5"/>
    <w:rsid w:val="00506F09"/>
    <w:rsid w:val="00507514"/>
    <w:rsid w:val="005101E3"/>
    <w:rsid w:val="00514EFF"/>
    <w:rsid w:val="00520819"/>
    <w:rsid w:val="005323C6"/>
    <w:rsid w:val="0053447A"/>
    <w:rsid w:val="00534CF3"/>
    <w:rsid w:val="005414D9"/>
    <w:rsid w:val="005418A8"/>
    <w:rsid w:val="005436A8"/>
    <w:rsid w:val="0055077A"/>
    <w:rsid w:val="00551BB6"/>
    <w:rsid w:val="00551F7B"/>
    <w:rsid w:val="00560C90"/>
    <w:rsid w:val="00561DC0"/>
    <w:rsid w:val="0056411B"/>
    <w:rsid w:val="00566E35"/>
    <w:rsid w:val="005670D1"/>
    <w:rsid w:val="0056760D"/>
    <w:rsid w:val="00581A7F"/>
    <w:rsid w:val="0058460E"/>
    <w:rsid w:val="00585B87"/>
    <w:rsid w:val="00593DD9"/>
    <w:rsid w:val="005B5C94"/>
    <w:rsid w:val="005C1B17"/>
    <w:rsid w:val="005C2FAA"/>
    <w:rsid w:val="005E00FD"/>
    <w:rsid w:val="005E3B7D"/>
    <w:rsid w:val="005E4C10"/>
    <w:rsid w:val="005F0F8B"/>
    <w:rsid w:val="0060307C"/>
    <w:rsid w:val="00603844"/>
    <w:rsid w:val="00606226"/>
    <w:rsid w:val="006072A0"/>
    <w:rsid w:val="006146BE"/>
    <w:rsid w:val="00614AC6"/>
    <w:rsid w:val="00616DFF"/>
    <w:rsid w:val="006244BA"/>
    <w:rsid w:val="00631614"/>
    <w:rsid w:val="0063691A"/>
    <w:rsid w:val="00641F46"/>
    <w:rsid w:val="006421D4"/>
    <w:rsid w:val="006436A1"/>
    <w:rsid w:val="00653EDA"/>
    <w:rsid w:val="00662C80"/>
    <w:rsid w:val="00676844"/>
    <w:rsid w:val="006773B3"/>
    <w:rsid w:val="00680842"/>
    <w:rsid w:val="00686FE0"/>
    <w:rsid w:val="00690643"/>
    <w:rsid w:val="00691906"/>
    <w:rsid w:val="00692A6D"/>
    <w:rsid w:val="006A1B3E"/>
    <w:rsid w:val="006A41F3"/>
    <w:rsid w:val="006B2585"/>
    <w:rsid w:val="006B5767"/>
    <w:rsid w:val="006B7DDB"/>
    <w:rsid w:val="006B7F95"/>
    <w:rsid w:val="006C3FBB"/>
    <w:rsid w:val="006C64EA"/>
    <w:rsid w:val="006C799E"/>
    <w:rsid w:val="006D2DB2"/>
    <w:rsid w:val="006D3ABE"/>
    <w:rsid w:val="006E56FA"/>
    <w:rsid w:val="006E7364"/>
    <w:rsid w:val="006F06CE"/>
    <w:rsid w:val="006F32B1"/>
    <w:rsid w:val="00700108"/>
    <w:rsid w:val="0070040D"/>
    <w:rsid w:val="00710074"/>
    <w:rsid w:val="00710443"/>
    <w:rsid w:val="00710EBB"/>
    <w:rsid w:val="007249D3"/>
    <w:rsid w:val="00734306"/>
    <w:rsid w:val="00742CB2"/>
    <w:rsid w:val="0074539C"/>
    <w:rsid w:val="00752F83"/>
    <w:rsid w:val="007607F8"/>
    <w:rsid w:val="00765C4F"/>
    <w:rsid w:val="0077360C"/>
    <w:rsid w:val="00773B3B"/>
    <w:rsid w:val="007742E6"/>
    <w:rsid w:val="00775BFC"/>
    <w:rsid w:val="007810E2"/>
    <w:rsid w:val="0078330B"/>
    <w:rsid w:val="0078587A"/>
    <w:rsid w:val="00787978"/>
    <w:rsid w:val="0078798F"/>
    <w:rsid w:val="007910E4"/>
    <w:rsid w:val="00793258"/>
    <w:rsid w:val="007937CC"/>
    <w:rsid w:val="0079479B"/>
    <w:rsid w:val="0079684B"/>
    <w:rsid w:val="00797E1D"/>
    <w:rsid w:val="00797EF8"/>
    <w:rsid w:val="007A6129"/>
    <w:rsid w:val="007B2262"/>
    <w:rsid w:val="007B28B5"/>
    <w:rsid w:val="007B343C"/>
    <w:rsid w:val="007B361C"/>
    <w:rsid w:val="007C0A95"/>
    <w:rsid w:val="007C2A6A"/>
    <w:rsid w:val="007C5289"/>
    <w:rsid w:val="007D0FA0"/>
    <w:rsid w:val="007D18C7"/>
    <w:rsid w:val="007D3BDA"/>
    <w:rsid w:val="007E24AC"/>
    <w:rsid w:val="007F4F45"/>
    <w:rsid w:val="007F531E"/>
    <w:rsid w:val="007F5EFF"/>
    <w:rsid w:val="007F7BCA"/>
    <w:rsid w:val="00800030"/>
    <w:rsid w:val="00803BA5"/>
    <w:rsid w:val="00803BE5"/>
    <w:rsid w:val="008131D4"/>
    <w:rsid w:val="00815882"/>
    <w:rsid w:val="008236BB"/>
    <w:rsid w:val="00830440"/>
    <w:rsid w:val="00841388"/>
    <w:rsid w:val="00843362"/>
    <w:rsid w:val="008435B5"/>
    <w:rsid w:val="008442BC"/>
    <w:rsid w:val="0085189C"/>
    <w:rsid w:val="00854F9A"/>
    <w:rsid w:val="008568C4"/>
    <w:rsid w:val="0086644A"/>
    <w:rsid w:val="00880267"/>
    <w:rsid w:val="008852BE"/>
    <w:rsid w:val="00885356"/>
    <w:rsid w:val="008853D4"/>
    <w:rsid w:val="00885739"/>
    <w:rsid w:val="00891415"/>
    <w:rsid w:val="0089267F"/>
    <w:rsid w:val="008959AD"/>
    <w:rsid w:val="00896B8F"/>
    <w:rsid w:val="008A2890"/>
    <w:rsid w:val="008A4315"/>
    <w:rsid w:val="008A47C8"/>
    <w:rsid w:val="008A6BC2"/>
    <w:rsid w:val="008B1448"/>
    <w:rsid w:val="008B1C8F"/>
    <w:rsid w:val="008B367D"/>
    <w:rsid w:val="008C12D0"/>
    <w:rsid w:val="008C6334"/>
    <w:rsid w:val="008D0F42"/>
    <w:rsid w:val="008D16DD"/>
    <w:rsid w:val="008D3970"/>
    <w:rsid w:val="008D623C"/>
    <w:rsid w:val="008E28E4"/>
    <w:rsid w:val="008F08AB"/>
    <w:rsid w:val="008F109E"/>
    <w:rsid w:val="008F15C1"/>
    <w:rsid w:val="008F75C0"/>
    <w:rsid w:val="00901BD9"/>
    <w:rsid w:val="00904A32"/>
    <w:rsid w:val="009117C9"/>
    <w:rsid w:val="00913A5D"/>
    <w:rsid w:val="00914248"/>
    <w:rsid w:val="00915747"/>
    <w:rsid w:val="009173C1"/>
    <w:rsid w:val="00917F96"/>
    <w:rsid w:val="009217FD"/>
    <w:rsid w:val="00927F33"/>
    <w:rsid w:val="00930CFE"/>
    <w:rsid w:val="009338E4"/>
    <w:rsid w:val="009454FD"/>
    <w:rsid w:val="0094708D"/>
    <w:rsid w:val="00960C8B"/>
    <w:rsid w:val="00970C86"/>
    <w:rsid w:val="00972985"/>
    <w:rsid w:val="009758FE"/>
    <w:rsid w:val="00976091"/>
    <w:rsid w:val="009770A0"/>
    <w:rsid w:val="0098212F"/>
    <w:rsid w:val="009827C1"/>
    <w:rsid w:val="00983634"/>
    <w:rsid w:val="00993970"/>
    <w:rsid w:val="009942A9"/>
    <w:rsid w:val="009A13F4"/>
    <w:rsid w:val="009A62FF"/>
    <w:rsid w:val="009A6D6C"/>
    <w:rsid w:val="009B00B4"/>
    <w:rsid w:val="009B2FE6"/>
    <w:rsid w:val="009B5873"/>
    <w:rsid w:val="009B5A31"/>
    <w:rsid w:val="009C080B"/>
    <w:rsid w:val="009C1190"/>
    <w:rsid w:val="009C15AF"/>
    <w:rsid w:val="009C241C"/>
    <w:rsid w:val="009C305E"/>
    <w:rsid w:val="009C7EAF"/>
    <w:rsid w:val="009D2CF5"/>
    <w:rsid w:val="009D52C8"/>
    <w:rsid w:val="009D640E"/>
    <w:rsid w:val="009D6D5A"/>
    <w:rsid w:val="009E396C"/>
    <w:rsid w:val="009E3FE5"/>
    <w:rsid w:val="009E4040"/>
    <w:rsid w:val="00A046CD"/>
    <w:rsid w:val="00A054B0"/>
    <w:rsid w:val="00A05839"/>
    <w:rsid w:val="00A06BA6"/>
    <w:rsid w:val="00A0786E"/>
    <w:rsid w:val="00A136DC"/>
    <w:rsid w:val="00A170F7"/>
    <w:rsid w:val="00A27594"/>
    <w:rsid w:val="00A3145B"/>
    <w:rsid w:val="00A31A18"/>
    <w:rsid w:val="00A31E04"/>
    <w:rsid w:val="00A35E4B"/>
    <w:rsid w:val="00A3623D"/>
    <w:rsid w:val="00A37788"/>
    <w:rsid w:val="00A378BD"/>
    <w:rsid w:val="00A42588"/>
    <w:rsid w:val="00A445C9"/>
    <w:rsid w:val="00A448D3"/>
    <w:rsid w:val="00A62C86"/>
    <w:rsid w:val="00A62C9C"/>
    <w:rsid w:val="00A65DA2"/>
    <w:rsid w:val="00A725D4"/>
    <w:rsid w:val="00A76CA1"/>
    <w:rsid w:val="00A80C76"/>
    <w:rsid w:val="00A8369A"/>
    <w:rsid w:val="00A94D7C"/>
    <w:rsid w:val="00A9646C"/>
    <w:rsid w:val="00A97CE6"/>
    <w:rsid w:val="00AA3A79"/>
    <w:rsid w:val="00AA6F1B"/>
    <w:rsid w:val="00AC0DFD"/>
    <w:rsid w:val="00AC5126"/>
    <w:rsid w:val="00AC5607"/>
    <w:rsid w:val="00AD2E2A"/>
    <w:rsid w:val="00AD3C21"/>
    <w:rsid w:val="00AD509E"/>
    <w:rsid w:val="00AD71C9"/>
    <w:rsid w:val="00AD7574"/>
    <w:rsid w:val="00AE3DE2"/>
    <w:rsid w:val="00AF07FF"/>
    <w:rsid w:val="00AF695E"/>
    <w:rsid w:val="00B103DA"/>
    <w:rsid w:val="00B22207"/>
    <w:rsid w:val="00B24AE4"/>
    <w:rsid w:val="00B26322"/>
    <w:rsid w:val="00B316B7"/>
    <w:rsid w:val="00B35D49"/>
    <w:rsid w:val="00B365B3"/>
    <w:rsid w:val="00B36D0A"/>
    <w:rsid w:val="00B4599C"/>
    <w:rsid w:val="00B45E2F"/>
    <w:rsid w:val="00B5047D"/>
    <w:rsid w:val="00B50AB9"/>
    <w:rsid w:val="00B55E99"/>
    <w:rsid w:val="00B601E7"/>
    <w:rsid w:val="00B62659"/>
    <w:rsid w:val="00B62752"/>
    <w:rsid w:val="00B62E40"/>
    <w:rsid w:val="00B751C6"/>
    <w:rsid w:val="00B77CC4"/>
    <w:rsid w:val="00B82B65"/>
    <w:rsid w:val="00B86E91"/>
    <w:rsid w:val="00B90A2A"/>
    <w:rsid w:val="00B940A1"/>
    <w:rsid w:val="00B942AF"/>
    <w:rsid w:val="00B95620"/>
    <w:rsid w:val="00BA0981"/>
    <w:rsid w:val="00BA0EA2"/>
    <w:rsid w:val="00BA1590"/>
    <w:rsid w:val="00BA3C59"/>
    <w:rsid w:val="00BA4BE1"/>
    <w:rsid w:val="00BA4FA2"/>
    <w:rsid w:val="00BA6A34"/>
    <w:rsid w:val="00BA75C2"/>
    <w:rsid w:val="00BB0DE2"/>
    <w:rsid w:val="00BB6210"/>
    <w:rsid w:val="00BC37CD"/>
    <w:rsid w:val="00BC3EE9"/>
    <w:rsid w:val="00BC5101"/>
    <w:rsid w:val="00BC5B9C"/>
    <w:rsid w:val="00BD47C2"/>
    <w:rsid w:val="00BE0869"/>
    <w:rsid w:val="00BF1B4D"/>
    <w:rsid w:val="00BF5BC4"/>
    <w:rsid w:val="00BF7B42"/>
    <w:rsid w:val="00C049DE"/>
    <w:rsid w:val="00C10CD6"/>
    <w:rsid w:val="00C12CE8"/>
    <w:rsid w:val="00C16C56"/>
    <w:rsid w:val="00C16FBE"/>
    <w:rsid w:val="00C3465E"/>
    <w:rsid w:val="00C35EFD"/>
    <w:rsid w:val="00C374A9"/>
    <w:rsid w:val="00C41EDC"/>
    <w:rsid w:val="00C44C06"/>
    <w:rsid w:val="00C46F4E"/>
    <w:rsid w:val="00C47D82"/>
    <w:rsid w:val="00C506BD"/>
    <w:rsid w:val="00C5463B"/>
    <w:rsid w:val="00C66210"/>
    <w:rsid w:val="00C83F1B"/>
    <w:rsid w:val="00C856A3"/>
    <w:rsid w:val="00CA1EF9"/>
    <w:rsid w:val="00CA47D2"/>
    <w:rsid w:val="00CA4B70"/>
    <w:rsid w:val="00CA63FF"/>
    <w:rsid w:val="00CA7F49"/>
    <w:rsid w:val="00CB6B65"/>
    <w:rsid w:val="00CB7193"/>
    <w:rsid w:val="00CC209F"/>
    <w:rsid w:val="00CC7229"/>
    <w:rsid w:val="00CD0020"/>
    <w:rsid w:val="00CD0616"/>
    <w:rsid w:val="00CD6286"/>
    <w:rsid w:val="00CE4089"/>
    <w:rsid w:val="00CF0178"/>
    <w:rsid w:val="00CF2A4F"/>
    <w:rsid w:val="00CF6751"/>
    <w:rsid w:val="00D05434"/>
    <w:rsid w:val="00D119EE"/>
    <w:rsid w:val="00D14560"/>
    <w:rsid w:val="00D23926"/>
    <w:rsid w:val="00D309DE"/>
    <w:rsid w:val="00D35559"/>
    <w:rsid w:val="00D35590"/>
    <w:rsid w:val="00D355D4"/>
    <w:rsid w:val="00D440CF"/>
    <w:rsid w:val="00D4684B"/>
    <w:rsid w:val="00D46E5F"/>
    <w:rsid w:val="00D505AD"/>
    <w:rsid w:val="00D53844"/>
    <w:rsid w:val="00D556DD"/>
    <w:rsid w:val="00D604ED"/>
    <w:rsid w:val="00D64C3E"/>
    <w:rsid w:val="00D65291"/>
    <w:rsid w:val="00D81959"/>
    <w:rsid w:val="00D83680"/>
    <w:rsid w:val="00D90B66"/>
    <w:rsid w:val="00D92442"/>
    <w:rsid w:val="00D950E0"/>
    <w:rsid w:val="00D97E94"/>
    <w:rsid w:val="00DA316E"/>
    <w:rsid w:val="00DA4355"/>
    <w:rsid w:val="00DA7053"/>
    <w:rsid w:val="00DA7C15"/>
    <w:rsid w:val="00DB366F"/>
    <w:rsid w:val="00DB499E"/>
    <w:rsid w:val="00DB5C41"/>
    <w:rsid w:val="00DB6D44"/>
    <w:rsid w:val="00DC0685"/>
    <w:rsid w:val="00DC165A"/>
    <w:rsid w:val="00DC17C9"/>
    <w:rsid w:val="00DC42F2"/>
    <w:rsid w:val="00DC6AB6"/>
    <w:rsid w:val="00DD54D5"/>
    <w:rsid w:val="00DD7D16"/>
    <w:rsid w:val="00DF7510"/>
    <w:rsid w:val="00DF7D01"/>
    <w:rsid w:val="00E200E3"/>
    <w:rsid w:val="00E20A54"/>
    <w:rsid w:val="00E21619"/>
    <w:rsid w:val="00E21F97"/>
    <w:rsid w:val="00E23F5E"/>
    <w:rsid w:val="00E32953"/>
    <w:rsid w:val="00E3323E"/>
    <w:rsid w:val="00E34FBA"/>
    <w:rsid w:val="00E406C3"/>
    <w:rsid w:val="00E4452B"/>
    <w:rsid w:val="00E4672E"/>
    <w:rsid w:val="00E558D5"/>
    <w:rsid w:val="00E5604B"/>
    <w:rsid w:val="00E6420E"/>
    <w:rsid w:val="00E65CCC"/>
    <w:rsid w:val="00E742F8"/>
    <w:rsid w:val="00E76BC0"/>
    <w:rsid w:val="00E775E9"/>
    <w:rsid w:val="00E80F14"/>
    <w:rsid w:val="00E81AA4"/>
    <w:rsid w:val="00E81FCB"/>
    <w:rsid w:val="00E94C00"/>
    <w:rsid w:val="00E94FB8"/>
    <w:rsid w:val="00E96AB4"/>
    <w:rsid w:val="00EA2A44"/>
    <w:rsid w:val="00EA478D"/>
    <w:rsid w:val="00EA76CD"/>
    <w:rsid w:val="00EB0D52"/>
    <w:rsid w:val="00EB7593"/>
    <w:rsid w:val="00ED4DD0"/>
    <w:rsid w:val="00EE563B"/>
    <w:rsid w:val="00EE65AB"/>
    <w:rsid w:val="00EE7783"/>
    <w:rsid w:val="00F00D3B"/>
    <w:rsid w:val="00F0154E"/>
    <w:rsid w:val="00F1255B"/>
    <w:rsid w:val="00F1518E"/>
    <w:rsid w:val="00F329FB"/>
    <w:rsid w:val="00F3698D"/>
    <w:rsid w:val="00F37DFF"/>
    <w:rsid w:val="00F4024B"/>
    <w:rsid w:val="00F43480"/>
    <w:rsid w:val="00F45CE2"/>
    <w:rsid w:val="00F46635"/>
    <w:rsid w:val="00F46F75"/>
    <w:rsid w:val="00F52FDB"/>
    <w:rsid w:val="00F56DE2"/>
    <w:rsid w:val="00F64B6D"/>
    <w:rsid w:val="00F70A62"/>
    <w:rsid w:val="00F7492E"/>
    <w:rsid w:val="00F7663C"/>
    <w:rsid w:val="00F7692F"/>
    <w:rsid w:val="00F77762"/>
    <w:rsid w:val="00F81E60"/>
    <w:rsid w:val="00F83443"/>
    <w:rsid w:val="00F931D8"/>
    <w:rsid w:val="00F963E7"/>
    <w:rsid w:val="00FA1DF1"/>
    <w:rsid w:val="00FA6A3F"/>
    <w:rsid w:val="00FB03AF"/>
    <w:rsid w:val="00FB19D3"/>
    <w:rsid w:val="00FB34F7"/>
    <w:rsid w:val="00FB4FC0"/>
    <w:rsid w:val="00FB6918"/>
    <w:rsid w:val="00FC2ADD"/>
    <w:rsid w:val="00FC359E"/>
    <w:rsid w:val="00FC37D6"/>
    <w:rsid w:val="00FD7CF6"/>
    <w:rsid w:val="00FD7F67"/>
    <w:rsid w:val="00FE1A2E"/>
    <w:rsid w:val="00FE435A"/>
    <w:rsid w:val="00FE6303"/>
    <w:rsid w:val="00FF16D7"/>
    <w:rsid w:val="023B0973"/>
    <w:rsid w:val="1AAF6921"/>
    <w:rsid w:val="21845A40"/>
    <w:rsid w:val="2B6F32B8"/>
    <w:rsid w:val="311B3765"/>
    <w:rsid w:val="39962B13"/>
    <w:rsid w:val="3ADB4B97"/>
    <w:rsid w:val="416F30D1"/>
    <w:rsid w:val="4F2D40B3"/>
    <w:rsid w:val="5D745BF0"/>
    <w:rsid w:val="618178C2"/>
    <w:rsid w:val="639A7C45"/>
    <w:rsid w:val="72030614"/>
    <w:rsid w:val="729F57FE"/>
    <w:rsid w:val="7ACA0249"/>
    <w:rsid w:val="7DB16675"/>
    <w:rsid w:val="7F8C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02F6F0A"/>
  <w15:docId w15:val="{3E9E7138-9BC9-4CBF-9320-8AD495DE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Balloon Text"/>
    <w:basedOn w:val="a"/>
    <w:link w:val="ab"/>
    <w:uiPriority w:val="99"/>
    <w:semiHidden/>
    <w:unhideWhenUsed/>
    <w:rsid w:val="00E5604B"/>
    <w:rPr>
      <w:sz w:val="18"/>
      <w:szCs w:val="18"/>
    </w:rPr>
  </w:style>
  <w:style w:type="character" w:customStyle="1" w:styleId="ab">
    <w:name w:val="批注框文本 字符"/>
    <w:basedOn w:val="a0"/>
    <w:link w:val="aa"/>
    <w:uiPriority w:val="99"/>
    <w:semiHidden/>
    <w:rsid w:val="00E560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509</Words>
  <Characters>2902</Characters>
  <Application>Microsoft Office Word</Application>
  <DocSecurity>0</DocSecurity>
  <Lines>24</Lines>
  <Paragraphs>6</Paragraphs>
  <ScaleCrop>false</ScaleCrop>
  <Company>Microsoft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Administrator</cp:lastModifiedBy>
  <cp:revision>669</cp:revision>
  <dcterms:created xsi:type="dcterms:W3CDTF">2022-05-10T15:59:00Z</dcterms:created>
  <dcterms:modified xsi:type="dcterms:W3CDTF">2026-01-21T07:45:00Z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FF08F2114F114411BF279A9BB608222E_13</vt:lpwstr>
  </property>
</Properties>
</file>