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E1C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169761"/>
          <w:spacing w:val="0"/>
          <w:sz w:val="39"/>
          <w:szCs w:val="39"/>
        </w:rPr>
      </w:pPr>
      <w:r>
        <w:rPr>
          <w:rFonts w:hint="eastAsia" w:ascii="微软雅黑" w:hAnsi="微软雅黑" w:eastAsia="微软雅黑" w:cs="微软雅黑"/>
          <w:b/>
          <w:bCs/>
          <w:i w:val="0"/>
          <w:iCs w:val="0"/>
          <w:caps w:val="0"/>
          <w:color w:val="169761"/>
          <w:spacing w:val="0"/>
          <w:sz w:val="39"/>
          <w:szCs w:val="39"/>
          <w:bdr w:val="none" w:color="auto" w:sz="0" w:space="0"/>
          <w:shd w:val="clear" w:fill="FFFFFF"/>
        </w:rPr>
        <w:t>中国药科大学多靶标天然药物全国重点实验室2025年博士研究生招生考核实施细则</w:t>
      </w:r>
    </w:p>
    <w:p w14:paraId="45E2CF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000000"/>
          <w:spacing w:val="0"/>
          <w:sz w:val="31"/>
          <w:szCs w:val="31"/>
          <w:bdr w:val="none" w:color="auto" w:sz="0" w:space="0"/>
          <w:shd w:val="clear" w:fill="FFFFFF"/>
        </w:rPr>
        <w:t>根据我校《关于印发〈中国药科大学博士研究生“申请－考核”制招生选拔办法（试行）〉的通知》（药大研〔</w:t>
      </w:r>
      <w:r>
        <w:rPr>
          <w:rFonts w:hint="eastAsia" w:ascii="仿宋" w:hAnsi="仿宋" w:eastAsia="仿宋" w:cs="仿宋"/>
          <w:i w:val="0"/>
          <w:iCs w:val="0"/>
          <w:caps w:val="0"/>
          <w:color w:val="000000"/>
          <w:spacing w:val="0"/>
          <w:sz w:val="31"/>
          <w:szCs w:val="31"/>
          <w:bdr w:val="none" w:color="auto" w:sz="0" w:space="0"/>
          <w:shd w:val="clear" w:fill="FFFFFF"/>
        </w:rPr>
        <w:t>2014〕246号）及《中国药科大学2024年招收硕博连读研究生管理办法》（药大研函〔2023〕35号）文件精神，特制定《中国药科大学多靶标天然药物全国重点实验室2025年博士研究生招生考核实施细则》。</w:t>
      </w:r>
    </w:p>
    <w:p w14:paraId="32DA83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left"/>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rPr>
        <w:t>一、组织领导</w:t>
      </w:r>
    </w:p>
    <w:p w14:paraId="756A47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在学校研究生招生工作领导小组的组织和领导下，成立多靶标天然药物全国重点实验室2025年博士招生工作领导小组和监督小组，统一组织协调我部门各二级学科考核小组的考核工作。</w:t>
      </w:r>
    </w:p>
    <w:p w14:paraId="19A929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left"/>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rPr>
        <w:t>二、参加考核人员条件</w:t>
      </w:r>
    </w:p>
    <w:p w14:paraId="744CE8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eastAsia" w:ascii="微软雅黑" w:hAnsi="微软雅黑" w:eastAsia="微软雅黑" w:cs="微软雅黑"/>
          <w:i w:val="0"/>
          <w:iCs w:val="0"/>
          <w:caps w:val="0"/>
          <w:color w:val="333333"/>
          <w:spacing w:val="0"/>
          <w:sz w:val="21"/>
          <w:szCs w:val="21"/>
        </w:rPr>
      </w:pPr>
      <w:bookmarkStart w:id="0" w:name="_GoBack"/>
      <w:bookmarkEnd w:id="0"/>
      <w:r>
        <w:rPr>
          <w:rFonts w:hint="eastAsia" w:ascii="仿宋" w:hAnsi="仿宋" w:eastAsia="仿宋" w:cs="仿宋"/>
          <w:i w:val="0"/>
          <w:iCs w:val="0"/>
          <w:caps w:val="0"/>
          <w:color w:val="000000"/>
          <w:spacing w:val="0"/>
          <w:sz w:val="31"/>
          <w:szCs w:val="31"/>
          <w:bdr w:val="none" w:color="auto" w:sz="0" w:space="0"/>
          <w:shd w:val="clear" w:fill="FFFFFF"/>
        </w:rPr>
        <w:t>按照药大研〔2014〕246号及药大研函〔2023〕35号文件中规定的要求和选拔程序，确定通过初审、导师审查、学院复审，经中国药科大学研究生院网站公示无异议的考生。</w:t>
      </w:r>
    </w:p>
    <w:p w14:paraId="49C613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left"/>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rPr>
        <w:t>三、考核内容及形式</w:t>
      </w:r>
    </w:p>
    <w:p w14:paraId="3CF0DA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各二级学科成立专家考核小组，对考生进行考核，考核小组由5位或5位以上博导组成，</w:t>
      </w:r>
      <w:r>
        <w:rPr>
          <w:rFonts w:hint="eastAsia" w:ascii="仿宋" w:hAnsi="仿宋" w:eastAsia="仿宋" w:cs="仿宋"/>
          <w:i w:val="0"/>
          <w:iCs w:val="0"/>
          <w:caps w:val="0"/>
          <w:color w:val="000000"/>
          <w:spacing w:val="0"/>
          <w:sz w:val="30"/>
          <w:szCs w:val="30"/>
          <w:bdr w:val="none" w:color="auto" w:sz="0" w:space="0"/>
          <w:shd w:val="clear" w:fill="FFFFFF"/>
        </w:rPr>
        <w:t>其中</w:t>
      </w:r>
      <w:r>
        <w:rPr>
          <w:rFonts w:hint="eastAsia" w:ascii="仿宋" w:hAnsi="仿宋" w:eastAsia="仿宋" w:cs="仿宋"/>
          <w:i w:val="0"/>
          <w:iCs w:val="0"/>
          <w:caps w:val="0"/>
          <w:color w:val="333333"/>
          <w:spacing w:val="0"/>
          <w:sz w:val="30"/>
          <w:szCs w:val="30"/>
          <w:bdr w:val="none" w:color="auto" w:sz="0" w:space="0"/>
          <w:shd w:val="clear" w:fill="FFFFFF"/>
        </w:rPr>
        <w:t>1人任组长，考核组另设秘书1</w:t>
      </w:r>
      <w:r>
        <w:rPr>
          <w:rFonts w:hint="eastAsia" w:ascii="仿宋" w:hAnsi="仿宋" w:eastAsia="仿宋" w:cs="仿宋"/>
          <w:i w:val="0"/>
          <w:iCs w:val="0"/>
          <w:caps w:val="0"/>
          <w:color w:val="333333"/>
          <w:spacing w:val="0"/>
          <w:sz w:val="30"/>
          <w:szCs w:val="30"/>
          <w:bdr w:val="none" w:color="auto" w:sz="0" w:space="0"/>
          <w:shd w:val="clear" w:fill="FFFFFF"/>
          <w:lang w:eastAsia="zh-CN"/>
        </w:rPr>
        <w:t>名</w:t>
      </w:r>
      <w:r>
        <w:rPr>
          <w:rFonts w:hint="eastAsia" w:ascii="仿宋" w:hAnsi="仿宋" w:eastAsia="仿宋" w:cs="仿宋"/>
          <w:i w:val="0"/>
          <w:iCs w:val="0"/>
          <w:caps w:val="0"/>
          <w:color w:val="000000"/>
          <w:spacing w:val="0"/>
          <w:sz w:val="31"/>
          <w:szCs w:val="31"/>
          <w:bdr w:val="none" w:color="auto" w:sz="0" w:space="0"/>
          <w:shd w:val="clear" w:fill="FFFFFF"/>
          <w:lang w:eastAsia="zh-CN"/>
        </w:rPr>
        <w:t>。</w:t>
      </w:r>
    </w:p>
    <w:p w14:paraId="4035F3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left"/>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rPr>
        <w:t>1.考核时间和地点：</w:t>
      </w:r>
    </w:p>
    <w:p w14:paraId="72BE969C">
      <w:r>
        <w:drawing>
          <wp:inline distT="0" distB="0" distL="114300" distR="114300">
            <wp:extent cx="5267325" cy="1478915"/>
            <wp:effectExtent l="0" t="0" r="952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1478915"/>
                    </a:xfrm>
                    <a:prstGeom prst="rect">
                      <a:avLst/>
                    </a:prstGeom>
                    <a:noFill/>
                    <a:ln>
                      <a:noFill/>
                    </a:ln>
                  </pic:spPr>
                </pic:pic>
              </a:graphicData>
            </a:graphic>
          </wp:inline>
        </w:drawing>
      </w:r>
    </w:p>
    <w:p w14:paraId="2F4B91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left"/>
        <w:rPr>
          <w:rFonts w:ascii="微软雅黑" w:hAnsi="微软雅黑" w:eastAsia="微软雅黑" w:cs="微软雅黑"/>
          <w:i w:val="0"/>
          <w:iCs w:val="0"/>
          <w:caps w:val="0"/>
          <w:color w:val="333333"/>
          <w:spacing w:val="0"/>
          <w:sz w:val="21"/>
          <w:szCs w:val="21"/>
        </w:rPr>
      </w:pPr>
      <w:r>
        <w:rPr>
          <w:rStyle w:val="6"/>
          <w:rFonts w:ascii="仿宋" w:hAnsi="仿宋" w:eastAsia="仿宋" w:cs="仿宋"/>
          <w:b/>
          <w:bCs/>
          <w:i w:val="0"/>
          <w:iCs w:val="0"/>
          <w:caps w:val="0"/>
          <w:color w:val="000000"/>
          <w:spacing w:val="0"/>
          <w:sz w:val="31"/>
          <w:szCs w:val="31"/>
          <w:bdr w:val="none" w:color="auto" w:sz="0" w:space="0"/>
          <w:shd w:val="clear" w:fill="FFFFFF"/>
        </w:rPr>
        <w:t>2.</w:t>
      </w:r>
      <w:r>
        <w:rPr>
          <w:rStyle w:val="6"/>
          <w:rFonts w:hint="eastAsia" w:ascii="仿宋" w:hAnsi="仿宋" w:eastAsia="仿宋" w:cs="仿宋"/>
          <w:b/>
          <w:bCs/>
          <w:i w:val="0"/>
          <w:iCs w:val="0"/>
          <w:caps w:val="0"/>
          <w:color w:val="000000"/>
          <w:spacing w:val="0"/>
          <w:sz w:val="31"/>
          <w:szCs w:val="31"/>
          <w:bdr w:val="none" w:color="auto" w:sz="0" w:space="0"/>
          <w:shd w:val="clear" w:fill="FFFFFF"/>
        </w:rPr>
        <w:t>考核内容及形式</w:t>
      </w:r>
    </w:p>
    <w:p w14:paraId="1B7EA1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我校博士研究生复试实行结构化面试。考察包括外语应用能力考查、专业基础考查和科研综合能力考查三个模块依次进行考核。每位考生考核时间不少于30分钟，其中外语应用能力考查和专业基础考查两个模块由负责考核学科提前命制题库，考生现场随机抽取作答，两项考查时间总和不少于10分钟。以上三项每个单项满分成绩为100分，任一单项成绩低于60分者不予录取。</w:t>
      </w:r>
    </w:p>
    <w:p w14:paraId="458AC2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left"/>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rPr>
        <w:t>考核总成绩＝外语应用能力考查×15%+专业基础考查×15%+科研综合能力考查×70%</w:t>
      </w:r>
      <w:r>
        <w:rPr>
          <w:rFonts w:hint="eastAsia" w:ascii="仿宋" w:hAnsi="仿宋" w:eastAsia="仿宋" w:cs="仿宋"/>
          <w:i w:val="0"/>
          <w:iCs w:val="0"/>
          <w:caps w:val="0"/>
          <w:color w:val="000000"/>
          <w:spacing w:val="0"/>
          <w:sz w:val="31"/>
          <w:szCs w:val="31"/>
          <w:bdr w:val="none" w:color="auto" w:sz="0" w:space="0"/>
          <w:shd w:val="clear" w:fill="FFFFFF"/>
        </w:rPr>
        <w:t>。（其中外语应用能力成绩为整数，其他成绩保留2位小数）</w:t>
      </w:r>
    </w:p>
    <w:p w14:paraId="34AF30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left"/>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eastAsia="zh-CN"/>
        </w:rPr>
        <w:t>外语应用能力考查：</w:t>
      </w:r>
      <w:r>
        <w:rPr>
          <w:rFonts w:hint="eastAsia" w:ascii="仿宋" w:hAnsi="仿宋" w:eastAsia="仿宋" w:cs="仿宋"/>
          <w:i w:val="0"/>
          <w:iCs w:val="0"/>
          <w:caps w:val="0"/>
          <w:color w:val="000000"/>
          <w:spacing w:val="0"/>
          <w:sz w:val="31"/>
          <w:szCs w:val="31"/>
          <w:bdr w:val="none" w:color="auto" w:sz="0" w:space="0"/>
          <w:shd w:val="clear" w:fill="FFFFFF"/>
          <w:lang w:eastAsia="zh-CN"/>
        </w:rPr>
        <w:t>围绕随机抽取题目的指定英语话题进行口语阅读、翻译、讲解阐述、解答讨论等；</w:t>
      </w:r>
    </w:p>
    <w:p w14:paraId="666D13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left"/>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eastAsia="zh-CN"/>
        </w:rPr>
        <w:t>专业基础考查：</w:t>
      </w:r>
      <w:r>
        <w:rPr>
          <w:rFonts w:hint="eastAsia" w:ascii="仿宋" w:hAnsi="仿宋" w:eastAsia="仿宋" w:cs="仿宋"/>
          <w:i w:val="0"/>
          <w:iCs w:val="0"/>
          <w:caps w:val="0"/>
          <w:color w:val="000000"/>
          <w:spacing w:val="0"/>
          <w:sz w:val="31"/>
          <w:szCs w:val="31"/>
          <w:bdr w:val="none" w:color="auto" w:sz="0" w:space="0"/>
          <w:shd w:val="clear" w:fill="FFFFFF"/>
          <w:lang w:eastAsia="zh-CN"/>
        </w:rPr>
        <w:t>按随机抽取题目要求作答；</w:t>
      </w:r>
    </w:p>
    <w:p w14:paraId="454451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left"/>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eastAsia="zh-CN"/>
        </w:rPr>
        <w:t>科研综合能力考查：</w:t>
      </w:r>
      <w:r>
        <w:rPr>
          <w:rFonts w:hint="eastAsia" w:ascii="仿宋" w:hAnsi="仿宋" w:eastAsia="仿宋" w:cs="仿宋"/>
          <w:i w:val="0"/>
          <w:iCs w:val="0"/>
          <w:caps w:val="0"/>
          <w:color w:val="000000"/>
          <w:spacing w:val="0"/>
          <w:sz w:val="31"/>
          <w:szCs w:val="31"/>
          <w:bdr w:val="none" w:color="auto" w:sz="0" w:space="0"/>
          <w:shd w:val="clear" w:fill="FFFFFF"/>
          <w:lang w:eastAsia="zh-CN"/>
        </w:rPr>
        <w:t>考生用</w:t>
      </w:r>
      <w:r>
        <w:rPr>
          <w:rFonts w:hint="eastAsia" w:ascii="仿宋" w:hAnsi="仿宋" w:eastAsia="仿宋" w:cs="仿宋"/>
          <w:i w:val="0"/>
          <w:iCs w:val="0"/>
          <w:caps w:val="0"/>
          <w:color w:val="000000"/>
          <w:spacing w:val="0"/>
          <w:sz w:val="31"/>
          <w:szCs w:val="31"/>
          <w:bdr w:val="none" w:color="auto" w:sz="0" w:space="0"/>
          <w:shd w:val="clear" w:fill="FFFFFF"/>
        </w:rPr>
        <w:t>PPT向考核专家组做个人陈述。内容包括以下4个方面：①个人简介，含学习和社会工作经历、社会兼职、个人综合素质能力简介等；②个人本科、硕士期间学习情况、目前工作情况介绍，含学习成绩、研究工作、获奖情况；③硕士阶段和工作期间课题进展、论文发表情况、取得成果等；④进入博士阶段拟进行的研究工作设想及安排等。个人陈述后，专家进行提问。</w:t>
      </w:r>
    </w:p>
    <w:p w14:paraId="0FB52C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left"/>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eastAsia="zh-CN"/>
        </w:rPr>
        <w:t>关于英语入学考试</w:t>
      </w:r>
      <w:r>
        <w:rPr>
          <w:rFonts w:hint="eastAsia" w:ascii="仿宋" w:hAnsi="仿宋" w:eastAsia="仿宋" w:cs="仿宋"/>
          <w:i w:val="0"/>
          <w:iCs w:val="0"/>
          <w:caps w:val="0"/>
          <w:color w:val="000000"/>
          <w:spacing w:val="0"/>
          <w:sz w:val="31"/>
          <w:szCs w:val="31"/>
          <w:bdr w:val="none" w:color="auto" w:sz="0" w:space="0"/>
          <w:shd w:val="clear" w:fill="FFFFFF"/>
          <w:lang w:eastAsia="zh-CN"/>
        </w:rPr>
        <w:t>，未达到英语免考条件的考生需参加学校统一组织的博士生英语入学考试，时间</w:t>
      </w:r>
      <w:r>
        <w:rPr>
          <w:rFonts w:hint="eastAsia" w:ascii="仿宋" w:hAnsi="仿宋" w:eastAsia="仿宋" w:cs="仿宋"/>
          <w:i w:val="0"/>
          <w:iCs w:val="0"/>
          <w:caps w:val="0"/>
          <w:color w:val="000000"/>
          <w:spacing w:val="0"/>
          <w:sz w:val="31"/>
          <w:szCs w:val="31"/>
          <w:bdr w:val="none" w:color="auto" w:sz="0" w:space="0"/>
          <w:shd w:val="clear" w:fill="FFFFFF"/>
        </w:rPr>
        <w:t>3月8日9:00-12:00（英语免考考生除外），考试地点在中国药科大学江宁校区，考场安排等由研究生院后续通知。</w:t>
      </w:r>
    </w:p>
    <w:p w14:paraId="78C656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left"/>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rPr>
        <w:t>3.复试报到</w:t>
      </w:r>
    </w:p>
    <w:p w14:paraId="6C45BC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考生须在学科组复试前报到。各考核学科对考生进行身份审核，审核不合格者，不予复试。</w:t>
      </w:r>
    </w:p>
    <w:p w14:paraId="746C77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请考生准备好对应查证的材料：身份证、硕士学位证、学士学位证、学籍认证报告、学生证、海外学历认证书、英语四六级成绩单、雅思、托福成绩单、SCI论文检索报告等。</w:t>
      </w:r>
    </w:p>
    <w:p w14:paraId="7C2163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left"/>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rPr>
        <w:t>四、录取、调剂工作</w:t>
      </w:r>
    </w:p>
    <w:p w14:paraId="41C8CE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录取、调剂工作将参照学校博士研究生复试录取工作要求执行。</w:t>
      </w:r>
    </w:p>
    <w:p w14:paraId="390B94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left"/>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rPr>
        <w:t>五、考核的监督和复议</w:t>
      </w:r>
    </w:p>
    <w:p w14:paraId="1EC0A8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多靶标天然药物全国重点实验室接受考生的投诉和申诉。联系方式：025-86185632，邮箱：kangkai@cpu.edu.cn。</w:t>
      </w:r>
    </w:p>
    <w:p w14:paraId="3AEC29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left"/>
        <w:rPr>
          <w:rFonts w:hint="eastAsia" w:ascii="微软雅黑" w:hAnsi="微软雅黑" w:eastAsia="微软雅黑" w:cs="微软雅黑"/>
          <w:i w:val="0"/>
          <w:iCs w:val="0"/>
          <w:caps w:val="0"/>
          <w:color w:val="333333"/>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rPr>
        <w:t>本实施细则的解释权归多靶标天然药物全国重点实验室。</w:t>
      </w:r>
    </w:p>
    <w:p w14:paraId="11D6AEE8">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60C71"/>
    <w:rsid w:val="13740E79"/>
    <w:rsid w:val="2EE60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2025-03-04T02:33:00Z</dcterms:created>
  <dc:creator>WPS_1663235086</dc:creator>
  <cp:lastModifiedBy>WPS_1663235086</cp:lastModifiedBy>
  <dcterms:modified xsi:type="dcterms:W3CDTF">2025-03-04T02:34:44Z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1F0CA614306849FAA01E6604A53EC738_13</vt:lpwstr>
  </property>
  <property fmtid="{D5CDD505-2E9C-101B-9397-08002B2CF9AE}" pid="4" name="KSOTemplateDocerSaveRecord">
    <vt:lpwstr>eyJoZGlkIjoiYTFmNmVhOTkxNjMwODU5NTJlYjI4NDc1ZWVjNjRhZWUiLCJ1c2VySWQiOiIxNDE1NTEzMzA2In0=</vt:lpwstr>
  </property>
</Properties>
</file>