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1690">
      <w:pPr>
        <w:rPr>
          <w:rFonts w:ascii="Arial" w:hAnsi="Arial" w:eastAsia="宋体" w:cs="Arial"/>
          <w:i w:val="0"/>
          <w:iCs w:val="0"/>
          <w:caps w:val="0"/>
          <w:color w:val="F29901"/>
          <w:spacing w:val="0"/>
          <w:sz w:val="42"/>
          <w:szCs w:val="42"/>
        </w:rPr>
      </w:pPr>
      <w:r>
        <w:rPr>
          <w:rFonts w:ascii="Arial" w:hAnsi="Arial" w:eastAsia="宋体" w:cs="Arial"/>
          <w:i w:val="0"/>
          <w:iCs w:val="0"/>
          <w:caps w:val="0"/>
          <w:color w:val="F29901"/>
          <w:spacing w:val="0"/>
          <w:sz w:val="42"/>
          <w:szCs w:val="42"/>
        </w:rPr>
        <w:t>西南大学柑桔研究所2025年博士研究生“申请-考核制”招生工作实施细则</w:t>
      </w:r>
    </w:p>
    <w:p w14:paraId="59EE9B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ascii="Arial" w:hAnsi="Arial" w:cs="Arial"/>
          <w:i w:val="0"/>
          <w:iCs w:val="0"/>
          <w:caps w:val="0"/>
          <w:color w:val="555555"/>
          <w:spacing w:val="0"/>
          <w:sz w:val="24"/>
          <w:szCs w:val="24"/>
          <w:bdr w:val="none" w:color="auto" w:sz="0" w:space="0"/>
        </w:rPr>
        <w:t>为进一步提高博士研究生的生源质量，完善高层次人才选拔方式，充分发挥博士生导师在博士研究生招生过程中的主导作用，选拔具有创新能力和学术专长的拔尖创新人才，我所深化推行“申请-考核制”博士招生方式，按照教育部和学校的有关规定，结合学科发展情况，制定本细则。</w:t>
      </w:r>
    </w:p>
    <w:p w14:paraId="5B5327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一、选拔原则</w:t>
      </w:r>
    </w:p>
    <w:p w14:paraId="1588EB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坚持公开、公平、公正，德、智、体、美、劳全面衡量，择优录取、宁缺毋滥的原则；坚持专家组及所研究生招生工作领导小组集体决策的原则；坚持以考生的创新能力、科研潜力和已获得的学术成果为依据的原则。</w:t>
      </w:r>
    </w:p>
    <w:p w14:paraId="5720B5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二、组织管理</w:t>
      </w:r>
    </w:p>
    <w:p w14:paraId="35EFB6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（一）研究生招生工作领导小组</w:t>
      </w:r>
    </w:p>
    <w:p w14:paraId="0E30DA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负责制定我所的“申请-考核制”实施细则并组织实施。</w:t>
      </w:r>
    </w:p>
    <w:p w14:paraId="429FCF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（二）研究生招生工作监督检查小组</w:t>
      </w:r>
    </w:p>
    <w:p w14:paraId="7E00EE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负责材料审核、综合考核、录取过程的监督检查和考生的申诉释疑工作。</w:t>
      </w:r>
    </w:p>
    <w:p w14:paraId="3CE17B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（三）材料审核小组</w:t>
      </w:r>
    </w:p>
    <w:p w14:paraId="7E812B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负责对报考考生所提交的材料进行全面审核。</w:t>
      </w:r>
    </w:p>
    <w:p w14:paraId="635342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（四）综合考核小组</w:t>
      </w:r>
    </w:p>
    <w:p w14:paraId="11140F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具体负责博士研究生综合考核的各项工作。</w:t>
      </w:r>
    </w:p>
    <w:p w14:paraId="2A4287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三、招生专业及其计划</w:t>
      </w:r>
    </w:p>
    <w:tbl>
      <w:tblPr>
        <w:tblW w:w="12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69"/>
        <w:gridCol w:w="5339"/>
        <w:gridCol w:w="4457"/>
      </w:tblGrid>
      <w:tr w14:paraId="1CBA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750" w:type="dxa"/>
            <w:tcBorders>
              <w:top w:val="single" w:color="auto" w:sz="6" w:space="0"/>
              <w:left w:val="single" w:color="auto" w:sz="6" w:space="0"/>
              <w:bottom w:val="single" w:color="auto" w:sz="6" w:space="0"/>
              <w:right w:val="single" w:color="auto" w:sz="6" w:space="0"/>
            </w:tcBorders>
            <w:shd w:val="clear" w:color="auto" w:fill="F3F3F3"/>
            <w:tcMar>
              <w:top w:w="0" w:type="dxa"/>
              <w:left w:w="105" w:type="dxa"/>
              <w:bottom w:w="0" w:type="dxa"/>
              <w:right w:w="105" w:type="dxa"/>
            </w:tcMar>
            <w:vAlign w:val="center"/>
          </w:tcPr>
          <w:p w14:paraId="7E496F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b/>
                <w:bCs/>
                <w:color w:val="666666"/>
                <w:sz w:val="21"/>
                <w:szCs w:val="21"/>
                <w:bdr w:val="none" w:color="auto" w:sz="0" w:space="0"/>
              </w:rPr>
              <w:t>招生类别</w:t>
            </w:r>
          </w:p>
        </w:tc>
        <w:tc>
          <w:tcPr>
            <w:tcW w:w="3180" w:type="dxa"/>
            <w:tcBorders>
              <w:top w:val="single" w:color="auto" w:sz="6" w:space="0"/>
              <w:left w:val="nil"/>
              <w:bottom w:val="single" w:color="auto" w:sz="6" w:space="0"/>
              <w:right w:val="single" w:color="auto" w:sz="6" w:space="0"/>
            </w:tcBorders>
            <w:shd w:val="clear" w:color="auto" w:fill="F3F3F3"/>
            <w:tcMar>
              <w:top w:w="0" w:type="dxa"/>
              <w:left w:w="105" w:type="dxa"/>
              <w:bottom w:w="0" w:type="dxa"/>
              <w:right w:w="105" w:type="dxa"/>
            </w:tcMar>
            <w:vAlign w:val="center"/>
          </w:tcPr>
          <w:p w14:paraId="24A7A5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b/>
                <w:bCs/>
                <w:color w:val="666666"/>
                <w:sz w:val="21"/>
                <w:szCs w:val="21"/>
                <w:bdr w:val="none" w:color="auto" w:sz="0" w:space="0"/>
              </w:rPr>
              <w:t>招生专业代码及名称</w:t>
            </w:r>
          </w:p>
        </w:tc>
        <w:tc>
          <w:tcPr>
            <w:tcW w:w="1875" w:type="dxa"/>
            <w:tcBorders>
              <w:top w:val="single" w:color="auto" w:sz="6" w:space="0"/>
              <w:left w:val="nil"/>
              <w:bottom w:val="single" w:color="auto" w:sz="6" w:space="0"/>
              <w:right w:val="single" w:color="auto" w:sz="6" w:space="0"/>
            </w:tcBorders>
            <w:shd w:val="clear" w:color="auto" w:fill="F3F3F3"/>
            <w:tcMar>
              <w:top w:w="0" w:type="dxa"/>
              <w:left w:w="105" w:type="dxa"/>
              <w:bottom w:w="0" w:type="dxa"/>
              <w:right w:w="105" w:type="dxa"/>
            </w:tcMar>
            <w:vAlign w:val="center"/>
          </w:tcPr>
          <w:p w14:paraId="5CBBA3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b/>
                <w:bCs/>
                <w:color w:val="666666"/>
                <w:sz w:val="21"/>
                <w:szCs w:val="21"/>
                <w:bdr w:val="none" w:color="auto" w:sz="0" w:space="0"/>
              </w:rPr>
              <w:t>拟招收人数</w:t>
            </w:r>
          </w:p>
        </w:tc>
      </w:tr>
      <w:tr w14:paraId="50AF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1F14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普通计划</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2D57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090201 果树学</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A5D6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1</w:t>
            </w:r>
          </w:p>
        </w:tc>
      </w:tr>
      <w:tr w14:paraId="1511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1170" w:type="dxa"/>
            <w:tcBorders>
              <w:top w:val="nil"/>
              <w:left w:val="single" w:color="auto" w:sz="6" w:space="0"/>
              <w:bottom w:val="single" w:color="auto" w:sz="6" w:space="0"/>
              <w:right w:val="single" w:color="auto" w:sz="6" w:space="0"/>
            </w:tcBorders>
            <w:shd w:val="clear" w:color="auto" w:fill="FAFAFA"/>
            <w:tcMar>
              <w:top w:w="0" w:type="dxa"/>
              <w:left w:w="105" w:type="dxa"/>
              <w:bottom w:w="0" w:type="dxa"/>
              <w:right w:w="105" w:type="dxa"/>
            </w:tcMar>
            <w:vAlign w:val="center"/>
          </w:tcPr>
          <w:p w14:paraId="32CC9E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普通计划</w:t>
            </w:r>
          </w:p>
        </w:tc>
        <w:tc>
          <w:tcPr>
            <w:tcW w:w="2400" w:type="dxa"/>
            <w:tcBorders>
              <w:top w:val="nil"/>
              <w:left w:val="nil"/>
              <w:bottom w:val="single" w:color="auto" w:sz="6" w:space="0"/>
              <w:right w:val="single" w:color="auto" w:sz="6" w:space="0"/>
            </w:tcBorders>
            <w:shd w:val="clear" w:color="auto" w:fill="FAFAFA"/>
            <w:tcMar>
              <w:top w:w="0" w:type="dxa"/>
              <w:left w:w="105" w:type="dxa"/>
              <w:bottom w:w="0" w:type="dxa"/>
              <w:right w:w="105" w:type="dxa"/>
            </w:tcMar>
            <w:vAlign w:val="center"/>
          </w:tcPr>
          <w:p w14:paraId="4B22AF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090401 植物病理学</w:t>
            </w:r>
          </w:p>
        </w:tc>
        <w:tc>
          <w:tcPr>
            <w:tcW w:w="2265" w:type="dxa"/>
            <w:tcBorders>
              <w:top w:val="nil"/>
              <w:left w:val="nil"/>
              <w:bottom w:val="single" w:color="auto" w:sz="6" w:space="0"/>
              <w:right w:val="single" w:color="auto" w:sz="6" w:space="0"/>
            </w:tcBorders>
            <w:shd w:val="clear" w:color="auto" w:fill="FAFAFA"/>
            <w:tcMar>
              <w:top w:w="0" w:type="dxa"/>
              <w:left w:w="105" w:type="dxa"/>
              <w:bottom w:w="0" w:type="dxa"/>
              <w:right w:w="105" w:type="dxa"/>
            </w:tcMar>
            <w:vAlign w:val="center"/>
          </w:tcPr>
          <w:p w14:paraId="52567D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4</w:t>
            </w:r>
          </w:p>
        </w:tc>
      </w:tr>
      <w:tr w14:paraId="1271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C5C7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普通计划</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EB17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090402 农业昆虫与害虫防治</w:t>
            </w:r>
          </w:p>
        </w:tc>
        <w:tc>
          <w:tcPr>
            <w:tcW w:w="24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CDD5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1</w:t>
            </w:r>
          </w:p>
        </w:tc>
      </w:tr>
      <w:tr w14:paraId="1CB7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1590" w:type="dxa"/>
            <w:tcBorders>
              <w:top w:val="nil"/>
              <w:left w:val="single" w:color="auto" w:sz="6" w:space="0"/>
              <w:bottom w:val="single" w:color="auto" w:sz="6" w:space="0"/>
              <w:right w:val="single" w:color="auto" w:sz="6" w:space="0"/>
            </w:tcBorders>
            <w:shd w:val="clear" w:color="auto" w:fill="FAFAFA"/>
            <w:tcMar>
              <w:top w:w="0" w:type="dxa"/>
              <w:left w:w="105" w:type="dxa"/>
              <w:bottom w:w="0" w:type="dxa"/>
              <w:right w:w="105" w:type="dxa"/>
            </w:tcMar>
            <w:vAlign w:val="center"/>
          </w:tcPr>
          <w:p w14:paraId="6199AB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少民骨干</w:t>
            </w:r>
          </w:p>
        </w:tc>
        <w:tc>
          <w:tcPr>
            <w:tcW w:w="2400" w:type="dxa"/>
            <w:tcBorders>
              <w:top w:val="nil"/>
              <w:left w:val="nil"/>
              <w:bottom w:val="single" w:color="auto" w:sz="6" w:space="0"/>
              <w:right w:val="single" w:color="auto" w:sz="6" w:space="0"/>
            </w:tcBorders>
            <w:shd w:val="clear" w:color="auto" w:fill="FAFAFA"/>
            <w:tcMar>
              <w:top w:w="0" w:type="dxa"/>
              <w:left w:w="105" w:type="dxa"/>
              <w:bottom w:w="0" w:type="dxa"/>
              <w:right w:w="105" w:type="dxa"/>
            </w:tcMar>
            <w:vAlign w:val="center"/>
          </w:tcPr>
          <w:p w14:paraId="724243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090401 植物病理学</w:t>
            </w:r>
          </w:p>
        </w:tc>
        <w:tc>
          <w:tcPr>
            <w:tcW w:w="2655" w:type="dxa"/>
            <w:tcBorders>
              <w:top w:val="nil"/>
              <w:left w:val="nil"/>
              <w:bottom w:val="single" w:color="auto" w:sz="6" w:space="0"/>
              <w:right w:val="single" w:color="auto" w:sz="6" w:space="0"/>
            </w:tcBorders>
            <w:shd w:val="clear" w:color="auto" w:fill="FAFAFA"/>
            <w:tcMar>
              <w:top w:w="0" w:type="dxa"/>
              <w:left w:w="105" w:type="dxa"/>
              <w:bottom w:w="0" w:type="dxa"/>
              <w:right w:w="105" w:type="dxa"/>
            </w:tcMar>
            <w:vAlign w:val="center"/>
          </w:tcPr>
          <w:p w14:paraId="0A0A59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jc w:val="both"/>
            </w:pPr>
            <w:r>
              <w:rPr>
                <w:color w:val="666666"/>
                <w:sz w:val="21"/>
                <w:szCs w:val="21"/>
                <w:bdr w:val="none" w:color="auto" w:sz="0" w:space="0"/>
              </w:rPr>
              <w:t>1</w:t>
            </w:r>
          </w:p>
        </w:tc>
      </w:tr>
    </w:tbl>
    <w:p w14:paraId="40B6B1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四、报名条件</w:t>
      </w:r>
    </w:p>
    <w:p w14:paraId="5BDE3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（一）中华人民共和国公民，拥护中国共产党领导，具有正确的政治方向，热爱祖国，愿意为社会主义现代化建设服务，遵纪守法，品行端正。</w:t>
      </w:r>
    </w:p>
    <w:p w14:paraId="75D1F6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（二）具有硕士学位。应届硕士毕业生须在入学报到前取得硕士学位，境外获得的硕士学位须在入学报到前通过教育部留学服务中心国外（境外）学历学位认证。</w:t>
      </w:r>
    </w:p>
    <w:p w14:paraId="7D978E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（三）有扎实的专业基础、较强的科学研究能力，发表过一定水平的专业学术论文。</w:t>
      </w:r>
    </w:p>
    <w:p w14:paraId="051854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外语水平应达到下述规定的要求。</w:t>
      </w:r>
    </w:p>
    <w:p w14:paraId="7DDDB5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1.英语水平应达到下列要求之一：</w:t>
      </w:r>
    </w:p>
    <w:p w14:paraId="470EC1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全国大学英语六级考试CET-6≥425分；托福TOEFL≥80/550分；雅思IELTS≥6.0；GRE≥260/1300分；WSK (PETS5) ≥60分；英语专业本科毕业。</w:t>
      </w:r>
    </w:p>
    <w:p w14:paraId="3FE55A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2.符合下列条件之一者，可认定为达到要求：</w:t>
      </w:r>
    </w:p>
    <w:p w14:paraId="3FE3ED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以第一作者身份在外文国际期刊上发表过专业学术论文、或者以主译者身份翻译出版过学术著作（翻译著作不低于1万字）等；在国外留学并获得教育部学位学历认证、或在国外有1年及以上学习经历（需提供国外学习经历的证明和成绩单）。</w:t>
      </w:r>
    </w:p>
    <w:p w14:paraId="66A17D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3.少数民族骨干人才计划考生特别优秀者外语要求可放宽至CET-4≥425分。</w:t>
      </w:r>
    </w:p>
    <w:p w14:paraId="4F4E21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（四）身心健康。</w:t>
      </w:r>
    </w:p>
    <w:p w14:paraId="345980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（五）少数民族骨干人才计划考生需符合学校简章规定的其他条件。</w:t>
      </w:r>
    </w:p>
    <w:p w14:paraId="483A7A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五、报名</w:t>
      </w:r>
    </w:p>
    <w:p w14:paraId="5979AC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申请人仔细阅读西南大学2025年度博士研究生招生章程，按要求于2025年1月8日至3月14日，登录学校博士研究生招生报名网站进行报名缴费，完整如实填写和提交报名信息，按要求完成网上信息校验。报名考试费一旦缴纳，不再办理退款手续。网报时间内未支付报名费视为报名信息无效。</w:t>
      </w:r>
    </w:p>
    <w:p w14:paraId="566E43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（二）报名成功后，下载《博士学位研究生网上报名信息简表》，确认无误并签字。</w:t>
      </w:r>
    </w:p>
    <w:p w14:paraId="0C7221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六、提交材料</w:t>
      </w:r>
    </w:p>
    <w:p w14:paraId="640036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1.博士学位研究生网上报名信息简表。</w:t>
      </w:r>
    </w:p>
    <w:p w14:paraId="0541B1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2.考生本人签字确认的有效身份证正反面复印件。</w:t>
      </w:r>
    </w:p>
    <w:p w14:paraId="3BC1F0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3.政治思想情况审核表。</w:t>
      </w:r>
    </w:p>
    <w:p w14:paraId="34F47B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4.学籍学历材料。</w:t>
      </w:r>
    </w:p>
    <w:p w14:paraId="717062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应届硕士毕业生提交《教育部学籍在线验证报告》，入学前须补交《教育部学历证书电子注册备案表》；</w:t>
      </w:r>
    </w:p>
    <w:p w14:paraId="2E0DFC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毕业生提交最高学历、学位证书复印件；</w:t>
      </w:r>
    </w:p>
    <w:p w14:paraId="1E5F80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网上报名未通过学历校验的考生，还需提交《中国高等教育学历认证报告》或《教育部学历证书电子注册备案表》；</w:t>
      </w:r>
    </w:p>
    <w:p w14:paraId="4C2302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只有学位证书而无毕业证书者，还需提交硕士学位认证报告；</w:t>
      </w:r>
    </w:p>
    <w:p w14:paraId="70BE5B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国（境）外获得学位考生还需提交教育部留学服务中心出具的《国（境）外学历学位认证书》复印件或提交能够在入学前取得该认证书的承诺书。</w:t>
      </w:r>
    </w:p>
    <w:p w14:paraId="7DEE5F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5.硕士阶段正式成绩单原件。</w:t>
      </w:r>
    </w:p>
    <w:p w14:paraId="040CAC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6.硕士学位论文全文，或应届毕业生硕士学位论文详细摘要。</w:t>
      </w:r>
    </w:p>
    <w:p w14:paraId="00836B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7.代表性学术成果复印件。</w:t>
      </w:r>
    </w:p>
    <w:p w14:paraId="5890AA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8.外语水平证明材料复印件。</w:t>
      </w:r>
    </w:p>
    <w:p w14:paraId="32CA0B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9.个人陈述（不少于3000字）。</w:t>
      </w:r>
    </w:p>
    <w:p w14:paraId="368226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包括研究计划、学术背景、研究经历、申请理由、参与的科研项目简介及自己在其中的贡献等。其中研究计划部分不少于1500字，包括研究问题、该问题的国内外研究现状、理论基础、研究思路与框架等内容。</w:t>
      </w:r>
    </w:p>
    <w:p w14:paraId="5CEC1A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10.两名所报考学科专业领域内的教授(或相当专业技术职称的专家)的书面推荐信，须分别密封并由推荐专家在封口骑缝处签字。</w:t>
      </w:r>
    </w:p>
    <w:p w14:paraId="67B999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申请材料须全部用A4纸打印或复印，按材料顺序一并装订成册，在2025年3月20日前用EMS或顺丰快递寄送至西南大学柑桔研究所，并在邮件封面上注明“考生姓名+博士申请考核制材料”。收件地址：重庆市北碚区歇马镇柑桔村15号柑桔研究所，收件人：赵老师，邮编：400712,联系电话：023-68349797。</w:t>
      </w:r>
    </w:p>
    <w:p w14:paraId="7F4B1A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所有材料必须扫描转成pdf格式，按材料顺序命名（例如01.考生姓名+博士学位研究生网上报名信息简表，02.考生姓名+身份证复印件，.....）于2025年3月20日前将电子版材料以考生姓名+报考专业命名打包压缩发送至邮箱：zhaojuan0920@swu.edu.cn，联系人：赵老师，电话：023-68349797。</w:t>
      </w:r>
    </w:p>
    <w:p w14:paraId="1897BF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七、材料审核</w:t>
      </w:r>
    </w:p>
    <w:p w14:paraId="0F6AB5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（一）我所以二级学科成立材料审核小组，具体负责考生材料审核。</w:t>
      </w:r>
    </w:p>
    <w:p w14:paraId="326084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审核内容：材料审核小组对考生材料进行形式审核和内容评价，对形式审核通过者，根据考生提交的材料从外语水平、学业成绩、科研业绩、综合素质表现等进行综合评定量化打分。外语和专业基础满分各为100分，合格60分。以报考的二级学科为单位根据材料审核成绩由高到低排序，按照一定比例择优确定进入综合考核的考生名单。</w:t>
      </w:r>
    </w:p>
    <w:p w14:paraId="357F08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材料审核成绩=外语成绩×30%+专业基础×70%</w:t>
      </w:r>
    </w:p>
    <w:p w14:paraId="5A9EBF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（二）申请者必须保证申请材料的真实性和准确性，如发现申请者提供的材料有弄虚作假情况，将取消其申请资格、录取资格。</w:t>
      </w:r>
    </w:p>
    <w:p w14:paraId="446688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（三）我所完成材料审核工作后，将在所网站公布进入综合考核的考生名单，公示期不少于3个工作日。公示无异议者进入综合考核环节。</w:t>
      </w:r>
    </w:p>
    <w:p w14:paraId="399632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八、综合考核</w:t>
      </w:r>
    </w:p>
    <w:p w14:paraId="5DC673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通过材料审查评价的“硕博连读”、“申请-考核制”考生，统一参加综合考核。</w:t>
      </w:r>
    </w:p>
    <w:p w14:paraId="1205CC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进入综合考核阶段的考生，综合考核时需向我所提交核验以下材料原件：身份证原件；最高学历、学位证书原件；外语水平证明材料原件；代表性学术成果原件。</w:t>
      </w:r>
    </w:p>
    <w:p w14:paraId="5B4FCA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（一）综合考核时间、地点</w:t>
      </w:r>
    </w:p>
    <w:p w14:paraId="20413B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具体时间另行通知。</w:t>
      </w:r>
    </w:p>
    <w:p w14:paraId="4499AD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（二）综合考核内容</w:t>
      </w:r>
    </w:p>
    <w:p w14:paraId="1AA333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为科学、公平、公正地进行博士生招生考试的综合考核和录取，我所综合考核成绩采用量化的方式进行。综合考核内容包括外语，专业知识，创新能力，综合素质（含思想品德及身心健康）。</w:t>
      </w:r>
    </w:p>
    <w:p w14:paraId="7B7534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（三）综合考核方式</w:t>
      </w:r>
    </w:p>
    <w:p w14:paraId="74C466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综合考核采用综合面试形式进行。每位申请人需准备PPT，PPT内容需含个人简介、学习成绩、课题研究、发表成果、拟攻读博士学位期间的研究计划等内容。</w:t>
      </w:r>
    </w:p>
    <w:p w14:paraId="09125F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（四）综合考核成绩</w:t>
      </w:r>
    </w:p>
    <w:p w14:paraId="7C6D86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综合考核总成绩满分为100分。</w:t>
      </w:r>
    </w:p>
    <w:p w14:paraId="0AD918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综合考核成绩=外语水平*30%+专业知识*30%+创新能力*30%+综合素质*10%。</w:t>
      </w:r>
    </w:p>
    <w:p w14:paraId="7D6427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综合成绩以二级学科专业为单位从高到低依次排序。</w:t>
      </w:r>
    </w:p>
    <w:p w14:paraId="425C7B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九、拟录取名单确定及公示</w:t>
      </w:r>
    </w:p>
    <w:p w14:paraId="63FE3D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（一）拟录取方式</w:t>
      </w:r>
    </w:p>
    <w:p w14:paraId="5E4DE0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我所在综合评定申请人思想品德和政治素质基础上，按照二级学科录取，即在同一二级学科按照申请人最终成绩由高到低的顺序依次录取。</w:t>
      </w:r>
    </w:p>
    <w:p w14:paraId="510CC4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（二）调剂</w:t>
      </w:r>
    </w:p>
    <w:p w14:paraId="391B96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无合格生源的导师，优先调剂本学科综合成绩排名靠前的考生。如考生不同意调剂，则视为自动放弃录取资格，由后面的依次递补。</w:t>
      </w:r>
    </w:p>
    <w:p w14:paraId="6A0A39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无合格生源，导师也不同意接收调剂生，其招生计划由所博士招生工作领导小组和综合考核小组讨论后分配到合格生源较多的导师名下。</w:t>
      </w:r>
    </w:p>
    <w:p w14:paraId="6CD0B5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三）全部录取工作完成后，经我所研究生招生工作领导小组审核及会议讨论通过的拟录取名单报研究生院。经学校招生工作领导小组审定后，研究生院将对全校拟录取名单统一组织公示，公示时间不少于7个工作日。</w:t>
      </w:r>
    </w:p>
    <w:p w14:paraId="308572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（四）凡有下列情况之一者，不得录取：</w:t>
      </w:r>
    </w:p>
    <w:p w14:paraId="5B970B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1.思想品德素质考核不合格者；</w:t>
      </w:r>
    </w:p>
    <w:p w14:paraId="3E8AEA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2.体检等身心健康检查不合格者；</w:t>
      </w:r>
    </w:p>
    <w:p w14:paraId="643252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3.报考资格不符合规定；</w:t>
      </w:r>
    </w:p>
    <w:p w14:paraId="67D854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4.未通过或未完成学历（学籍）审核的考生；</w:t>
      </w:r>
    </w:p>
    <w:p w14:paraId="75B4A6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5.报考、考核及录取过程中弄虚作假的；</w:t>
      </w:r>
    </w:p>
    <w:p w14:paraId="4B0166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6.应届硕士毕业生入学报到时未取得硕士学位的；</w:t>
      </w:r>
    </w:p>
    <w:p w14:paraId="069857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7.报考定向就业的考生未按规定签订就业协议的；</w:t>
      </w:r>
    </w:p>
    <w:p w14:paraId="1E44AB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8.非定向就业考生未按要求将个人人事档案等转入学校的；</w:t>
      </w:r>
    </w:p>
    <w:p w14:paraId="50C4B5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9.教育部、学校相关文件明确规定不予录取、取消录取资格或取消入学资格的其它情形。</w:t>
      </w:r>
    </w:p>
    <w:p w14:paraId="144222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Style w:val="9"/>
          <w:rFonts w:hint="default" w:ascii="Arial" w:hAnsi="Arial" w:cs="Arial"/>
          <w:i w:val="0"/>
          <w:iCs w:val="0"/>
          <w:caps w:val="0"/>
          <w:color w:val="555555"/>
          <w:spacing w:val="0"/>
          <w:sz w:val="24"/>
          <w:szCs w:val="24"/>
          <w:bdr w:val="none" w:color="auto" w:sz="0" w:space="0"/>
        </w:rPr>
        <w:t>十、招生咨询与联系电话</w:t>
      </w:r>
    </w:p>
    <w:p w14:paraId="241175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招生信息请查询西南大学研究生招生（</w:t>
      </w:r>
      <w:r>
        <w:rPr>
          <w:rFonts w:hint="default" w:ascii="Arial" w:hAnsi="Arial" w:cs="Arial"/>
          <w:i w:val="0"/>
          <w:iCs w:val="0"/>
          <w:caps w:val="0"/>
          <w:color w:val="15AB47"/>
          <w:spacing w:val="0"/>
          <w:sz w:val="24"/>
          <w:szCs w:val="24"/>
          <w:u w:val="single"/>
          <w:bdr w:val="none" w:color="auto" w:sz="0" w:space="0"/>
        </w:rPr>
        <w:fldChar w:fldCharType="begin"/>
      </w:r>
      <w:r>
        <w:rPr>
          <w:rFonts w:hint="default" w:ascii="Arial" w:hAnsi="Arial" w:cs="Arial"/>
          <w:i w:val="0"/>
          <w:iCs w:val="0"/>
          <w:caps w:val="0"/>
          <w:color w:val="15AB47"/>
          <w:spacing w:val="0"/>
          <w:sz w:val="24"/>
          <w:szCs w:val="24"/>
          <w:u w:val="single"/>
          <w:bdr w:val="none" w:color="auto" w:sz="0" w:space="0"/>
        </w:rPr>
        <w:instrText xml:space="preserve"> HYPERLINK "http://yz.swu.edu.cn/" </w:instrText>
      </w:r>
      <w:r>
        <w:rPr>
          <w:rFonts w:hint="default" w:ascii="Arial" w:hAnsi="Arial" w:cs="Arial"/>
          <w:i w:val="0"/>
          <w:iCs w:val="0"/>
          <w:caps w:val="0"/>
          <w:color w:val="15AB47"/>
          <w:spacing w:val="0"/>
          <w:sz w:val="24"/>
          <w:szCs w:val="24"/>
          <w:u w:val="single"/>
          <w:bdr w:val="none" w:color="auto" w:sz="0" w:space="0"/>
        </w:rPr>
        <w:fldChar w:fldCharType="separate"/>
      </w:r>
      <w:r>
        <w:rPr>
          <w:rStyle w:val="10"/>
          <w:rFonts w:hint="default" w:ascii="Arial" w:hAnsi="Arial" w:cs="Arial"/>
          <w:i w:val="0"/>
          <w:iCs w:val="0"/>
          <w:caps w:val="0"/>
          <w:color w:val="15AB47"/>
          <w:spacing w:val="0"/>
          <w:sz w:val="24"/>
          <w:szCs w:val="24"/>
          <w:u w:val="single"/>
          <w:bdr w:val="none" w:color="auto" w:sz="0" w:space="0"/>
        </w:rPr>
        <w:t>http://yz.swu.edu.cn/</w:t>
      </w:r>
      <w:r>
        <w:rPr>
          <w:rFonts w:hint="default" w:ascii="Arial" w:hAnsi="Arial" w:cs="Arial"/>
          <w:i w:val="0"/>
          <w:iCs w:val="0"/>
          <w:caps w:val="0"/>
          <w:color w:val="15AB47"/>
          <w:spacing w:val="0"/>
          <w:sz w:val="24"/>
          <w:szCs w:val="24"/>
          <w:u w:val="single"/>
          <w:bdr w:val="none" w:color="auto" w:sz="0" w:space="0"/>
        </w:rPr>
        <w:fldChar w:fldCharType="end"/>
      </w:r>
      <w:r>
        <w:rPr>
          <w:rFonts w:hint="default" w:ascii="Arial" w:hAnsi="Arial" w:cs="Arial"/>
          <w:i w:val="0"/>
          <w:iCs w:val="0"/>
          <w:caps w:val="0"/>
          <w:color w:val="555555"/>
          <w:spacing w:val="0"/>
          <w:sz w:val="24"/>
          <w:szCs w:val="24"/>
          <w:bdr w:val="none" w:color="auto" w:sz="0" w:space="0"/>
        </w:rPr>
        <w:t>）和柑桔研究所官网（http://gjs.swu.edu.cn/）。</w:t>
      </w:r>
    </w:p>
    <w:p w14:paraId="5E474A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咨询电话：023-68349797， 联系人：赵老师</w:t>
      </w:r>
    </w:p>
    <w:p w14:paraId="107958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20"/>
        <w:jc w:val="both"/>
      </w:pPr>
      <w:r>
        <w:rPr>
          <w:rFonts w:hint="default" w:ascii="Arial" w:hAnsi="Arial" w:cs="Arial"/>
          <w:i w:val="0"/>
          <w:iCs w:val="0"/>
          <w:caps w:val="0"/>
          <w:color w:val="555555"/>
          <w:spacing w:val="0"/>
          <w:sz w:val="24"/>
          <w:szCs w:val="24"/>
          <w:bdr w:val="none" w:color="auto" w:sz="0" w:space="0"/>
        </w:rPr>
        <w:t>办公地点：西南大学柑桔研究所综合楼125办公室。</w:t>
      </w:r>
    </w:p>
    <w:p w14:paraId="1AE397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right"/>
      </w:pPr>
      <w:r>
        <w:rPr>
          <w:rFonts w:hint="default" w:ascii="Arial" w:hAnsi="Arial" w:cs="Arial"/>
          <w:i w:val="0"/>
          <w:iCs w:val="0"/>
          <w:caps w:val="0"/>
          <w:color w:val="555555"/>
          <w:spacing w:val="0"/>
          <w:sz w:val="24"/>
          <w:szCs w:val="24"/>
          <w:bdr w:val="none" w:color="auto" w:sz="0" w:space="0"/>
        </w:rPr>
        <w:t>柑桔研究所</w:t>
      </w:r>
    </w:p>
    <w:p w14:paraId="43F356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76" w:afterAutospacing="0"/>
        <w:ind w:left="0" w:right="0"/>
        <w:jc w:val="right"/>
      </w:pPr>
      <w:r>
        <w:rPr>
          <w:rFonts w:hint="default" w:ascii="Arial" w:hAnsi="Arial" w:cs="Arial"/>
          <w:i w:val="0"/>
          <w:iCs w:val="0"/>
          <w:caps w:val="0"/>
          <w:color w:val="555555"/>
          <w:spacing w:val="0"/>
          <w:sz w:val="24"/>
          <w:szCs w:val="24"/>
          <w:bdr w:val="none" w:color="auto" w:sz="0" w:space="0"/>
        </w:rPr>
        <w:t>2025年1月7日</w:t>
      </w:r>
    </w:p>
    <w:p w14:paraId="675D9A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来源：</w:t>
      </w:r>
      <w:r>
        <w:rPr>
          <w:rFonts w:hint="default" w:ascii="Arial" w:hAnsi="Arial" w:cs="Arial"/>
          <w:b/>
          <w:bCs/>
          <w:i w:val="0"/>
          <w:iCs w:val="0"/>
          <w:caps w:val="0"/>
          <w:color w:val="555555"/>
          <w:spacing w:val="0"/>
          <w:sz w:val="24"/>
          <w:szCs w:val="24"/>
          <w:bdr w:val="none" w:color="auto" w:sz="0" w:space="0"/>
        </w:rPr>
        <w:t>所研究生工作办公室/国合科</w:t>
      </w:r>
    </w:p>
    <w:p w14:paraId="02DB9CED">
      <w:pPr>
        <w:rPr>
          <w:rFonts w:hint="eastAsia" w:ascii="Arial" w:hAnsi="Arial" w:eastAsia="宋体" w:cs="Arial"/>
          <w:i w:val="0"/>
          <w:iCs w:val="0"/>
          <w:caps w:val="0"/>
          <w:color w:val="F29901"/>
          <w:spacing w:val="0"/>
          <w:sz w:val="42"/>
          <w:szCs w:val="4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ngsong_gb231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iYuanSong">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0D701199"/>
    <w:rsid w:val="12157C38"/>
    <w:rsid w:val="12C67A5C"/>
    <w:rsid w:val="14831037"/>
    <w:rsid w:val="17D426A8"/>
    <w:rsid w:val="182072A4"/>
    <w:rsid w:val="19B5733A"/>
    <w:rsid w:val="1F47475D"/>
    <w:rsid w:val="20F2001C"/>
    <w:rsid w:val="221435F7"/>
    <w:rsid w:val="24190849"/>
    <w:rsid w:val="2F3D0B11"/>
    <w:rsid w:val="34DC77C8"/>
    <w:rsid w:val="3541716C"/>
    <w:rsid w:val="3B8443B3"/>
    <w:rsid w:val="3FA5067B"/>
    <w:rsid w:val="42251994"/>
    <w:rsid w:val="46D92C4C"/>
    <w:rsid w:val="499A0251"/>
    <w:rsid w:val="50082A59"/>
    <w:rsid w:val="50D40EA8"/>
    <w:rsid w:val="54F55170"/>
    <w:rsid w:val="599154FE"/>
    <w:rsid w:val="5A1225D4"/>
    <w:rsid w:val="5E2D1110"/>
    <w:rsid w:val="5E5025C9"/>
    <w:rsid w:val="6350047D"/>
    <w:rsid w:val="70CC631B"/>
    <w:rsid w:val="748A0340"/>
    <w:rsid w:val="750B1B93"/>
    <w:rsid w:val="78574B7E"/>
    <w:rsid w:val="79291653"/>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
    <w:basedOn w:val="1"/>
    <w:next w:val="1"/>
    <w:uiPriority w:val="0"/>
    <w:pPr>
      <w:pBdr>
        <w:bottom w:val="single" w:color="auto" w:sz="6" w:space="1"/>
      </w:pBdr>
      <w:jc w:val="center"/>
    </w:pPr>
    <w:rPr>
      <w:rFonts w:ascii="Arial" w:eastAsia="宋体"/>
      <w:vanish/>
      <w:sz w:val="16"/>
    </w:rPr>
  </w:style>
  <w:style w:type="paragraph" w:styleId="12">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73FD335F63A840DAB8E9C99A81918921_13</vt:lpwstr>
  </property>
  <property fmtid="{D5CDD505-2E9C-101B-9397-08002B2CF9AE}" pid="4" name="KSOTemplateDocerSaveRecord">
    <vt:lpwstr>eyJoZGlkIjoiYTFmNmVhOTkxNjMwODU5NTJlYjI4NDc1ZWVjNjRhZWUiLCJ1c2VySWQiOiIxNDE1NTEzMzA2In0=</vt:lpwstr>
  </property>
</Properties>
</file>