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A50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17519A"/>
          <w:spacing w:val="0"/>
          <w:sz w:val="33"/>
          <w:szCs w:val="33"/>
        </w:rPr>
      </w:pPr>
      <w:bookmarkStart w:id="0" w:name="_GoBack"/>
      <w:r>
        <w:rPr>
          <w:rFonts w:hint="eastAsia" w:ascii="微软雅黑" w:hAnsi="微软雅黑" w:eastAsia="微软雅黑" w:cs="微软雅黑"/>
          <w:b/>
          <w:bCs/>
          <w:i w:val="0"/>
          <w:iCs w:val="0"/>
          <w:caps w:val="0"/>
          <w:color w:val="17519A"/>
          <w:spacing w:val="0"/>
          <w:sz w:val="33"/>
          <w:szCs w:val="33"/>
          <w:bdr w:val="none" w:color="auto" w:sz="0" w:space="0"/>
          <w:shd w:val="clear" w:fill="FFFFFF"/>
        </w:rPr>
        <w:t>南京信息工程大学计算机学院</w:t>
      </w:r>
      <w:bookmarkEnd w:id="0"/>
      <w:r>
        <w:rPr>
          <w:rFonts w:hint="eastAsia" w:ascii="微软雅黑" w:hAnsi="微软雅黑" w:eastAsia="微软雅黑" w:cs="微软雅黑"/>
          <w:b/>
          <w:bCs/>
          <w:i w:val="0"/>
          <w:iCs w:val="0"/>
          <w:caps w:val="0"/>
          <w:color w:val="17519A"/>
          <w:spacing w:val="0"/>
          <w:sz w:val="33"/>
          <w:szCs w:val="33"/>
          <w:bdr w:val="none" w:color="auto" w:sz="0" w:space="0"/>
          <w:shd w:val="clear" w:fill="FFFFFF"/>
        </w:rPr>
        <w:t>、网络空间安全学院 2026年博士研究生招生工作细则</w:t>
      </w:r>
    </w:p>
    <w:p w14:paraId="4589D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ascii="微软雅黑" w:hAnsi="微软雅黑" w:eastAsia="微软雅黑" w:cs="微软雅黑"/>
          <w:i w:val="0"/>
          <w:iCs w:val="0"/>
          <w:caps w:val="0"/>
          <w:color w:val="333333"/>
          <w:spacing w:val="0"/>
          <w:sz w:val="21"/>
          <w:szCs w:val="21"/>
        </w:rPr>
      </w:pPr>
      <w:r>
        <w:rPr>
          <w:rFonts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为做好我院</w:t>
      </w: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2026年博士研究生招生工作，根据《南京信息工程大学2026年博士研究生招生简章》的规定，结合我院实际，特制定本细则。</w:t>
      </w:r>
    </w:p>
    <w:p w14:paraId="113B08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一、组织机构及职责</w:t>
      </w:r>
    </w:p>
    <w:p w14:paraId="641B8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 （一）博士研究生招生工作领导小组</w:t>
      </w:r>
    </w:p>
    <w:p w14:paraId="59553C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负责制定学院博士研究生招生工作细则，组织开展本单位博士研究生招生复试录取工作，提出录取建议。</w:t>
      </w:r>
    </w:p>
    <w:p w14:paraId="35B1E0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组长：付章杰</w:t>
      </w:r>
    </w:p>
    <w:p w14:paraId="48BECA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成员：程旭、王保卫、孙玉宝、张佩云</w:t>
      </w:r>
    </w:p>
    <w:p w14:paraId="2AC8F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8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（二）博士研究生招生工作纪检监督小组</w:t>
      </w:r>
    </w:p>
    <w:p w14:paraId="4EC57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负责对招生复试录取工作过程进行纪检监督，并接受考生和社会的咨询、投诉和违纪违规情况反映。组长：张京波</w:t>
      </w:r>
    </w:p>
    <w:p w14:paraId="708016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成员：朱文镇、田伟、郭萍、刘晓峰</w:t>
      </w:r>
    </w:p>
    <w:p w14:paraId="7B918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（三）复试专家组</w:t>
      </w:r>
    </w:p>
    <w:p w14:paraId="06E2C0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由博士研究生招生工作领导小组根据复试工作安排成立复试专家组，对参加复试的考生进行外语、思想道德水平和学术水平考查。复试专家组成员由不少于5人的本学科博士生导师组成。</w:t>
      </w:r>
    </w:p>
    <w:p w14:paraId="6FBD52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（四）复试工作小组</w:t>
      </w:r>
    </w:p>
    <w:p w14:paraId="3A3E9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由博士研究生招生工作领导小组根据招生规模及复试安排组织成立复试工作小组，负责具体实施复试录取工作，保障复试录取工作顺利进行。</w:t>
      </w:r>
    </w:p>
    <w:p w14:paraId="19D42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二、报考条件及选拔流程</w:t>
      </w:r>
    </w:p>
    <w:p w14:paraId="75596C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（一）报考条件</w:t>
      </w:r>
    </w:p>
    <w:p w14:paraId="10934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1. 具体要求以研究生院发布《南京信息工程大学2026年博士研究生招生简章》为准。</w:t>
      </w:r>
    </w:p>
    <w:p w14:paraId="5DB0A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5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2.以“申请-考核”方式报考学术学位博士研究生，原则上不招收报考“定向”就业的考生（专项计划除外）。</w:t>
      </w:r>
    </w:p>
    <w:p w14:paraId="20948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5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3. 以硕博连读方式报考，拟申请的博士专业与硕士在读专业应同属一个学科门类（即硕、博专业的代码前2位一致）。</w:t>
      </w:r>
    </w:p>
    <w:p w14:paraId="1614D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（二）选拔流程</w:t>
      </w:r>
    </w:p>
    <w:p w14:paraId="66DED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    1. 网上报名：</w:t>
      </w:r>
    </w:p>
    <w:p w14:paraId="0D8E6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    （1）报名时间：以我校研究生招生信息网博士招生动态栏目通知为准；</w:t>
      </w:r>
    </w:p>
    <w:p w14:paraId="7B346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    （2）报名程序：考生登录博士报名系统进行网上报名，请务必按照网站的提示和要求填写报名信息、上传 报名材料、打印报名表格。</w:t>
      </w:r>
    </w:p>
    <w:p w14:paraId="0A37B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      2. 提交材料：</w:t>
      </w:r>
    </w:p>
    <w:p w14:paraId="64AB9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      考生须在报名成功后3日内向所报考的招生院系所寄（送）达纸质的报名登记表及其它材料（联系人：方老师，办公电话：025-58731183，通讯地址：江苏省南京市宁六路219号临江楼A1209）。报名材料可以由考生本人直接送达，也可以通过EMS邮寄，不接受快递公司投递。</w:t>
      </w:r>
    </w:p>
    <w:p w14:paraId="2B4C5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须寄（送）的报名材料详情见我校报名通知。</w:t>
      </w:r>
    </w:p>
    <w:p w14:paraId="08E78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     3.资格审核</w:t>
      </w:r>
    </w:p>
    <w:p w14:paraId="645B0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      对研究生院初审通过的考生进行学院复审，对不符合学院申报条件者，不予进入复试。英语条件不满足者 须参加学校统一组织的英语能力测试，成绩合格方可进入复试。研究生院统一公布进入复试者名单，考生须根 据研究生院的相关通知进行信息确认、缴纳报考费等复试前准备工作。</w:t>
      </w:r>
    </w:p>
    <w:p w14:paraId="1B020B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     4.复试环节</w:t>
      </w:r>
    </w:p>
    <w:p w14:paraId="1E219D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(1) </w:t>
      </w: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硕博连读考生</w:t>
      </w:r>
    </w:p>
    <w:p w14:paraId="51993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24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①　材料评审</w:t>
      </w:r>
    </w:p>
    <w:p w14:paraId="511372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复试专家组通过对申请者的硕士课程成绩、硕士学位论文（含评议书）、申请者参与科研、发表论文、出版专著、获奖等情况及专家推荐意见、申请者自我评价、攻读博士学位科学研究计划等材料，参照《南京信息工程大学综合贡献评价标准（2021版）》，并结合报考导师的招生方向及意见，对申请者作出评价结论，给出审核结果（按比例折合成百分制成绩）。该项评分仅统计近三年的科研成果。</w:t>
      </w:r>
    </w:p>
    <w:p w14:paraId="6495A2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w:t>
      </w:r>
    </w:p>
    <w:p w14:paraId="7B189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博士复试成果积分标准</w:t>
      </w:r>
    </w:p>
    <w:tbl>
      <w:tblPr>
        <w:tblW w:w="11250" w:type="dxa"/>
        <w:tblInd w:w="0" w:type="dxa"/>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7"/>
        <w:gridCol w:w="501"/>
        <w:gridCol w:w="407"/>
        <w:gridCol w:w="1222"/>
        <w:gridCol w:w="689"/>
        <w:gridCol w:w="501"/>
        <w:gridCol w:w="628"/>
        <w:gridCol w:w="6895"/>
      </w:tblGrid>
      <w:tr w14:paraId="2E206E99">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3899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ascii="仿宋" w:hAnsi="仿宋" w:eastAsia="仿宋" w:cs="仿宋"/>
                <w:i w:val="0"/>
                <w:iCs w:val="0"/>
                <w:caps w:val="0"/>
                <w:color w:val="333333"/>
                <w:spacing w:val="0"/>
                <w:kern w:val="0"/>
                <w:sz w:val="18"/>
                <w:szCs w:val="18"/>
                <w:bdr w:val="none" w:color="auto" w:sz="0" w:space="0"/>
                <w:lang w:val="en-US" w:eastAsia="zh-CN" w:bidi="ar"/>
              </w:rPr>
              <w:t>类</w:t>
            </w:r>
            <w:r>
              <w:rPr>
                <w:rFonts w:hint="eastAsia" w:ascii="仿宋" w:hAnsi="仿宋" w:eastAsia="仿宋" w:cs="仿宋"/>
                <w:i w:val="0"/>
                <w:iCs w:val="0"/>
                <w:caps w:val="0"/>
                <w:color w:val="333333"/>
                <w:spacing w:val="0"/>
                <w:kern w:val="0"/>
                <w:sz w:val="18"/>
                <w:szCs w:val="18"/>
                <w:bdr w:val="none" w:color="auto" w:sz="0" w:space="0"/>
                <w:lang w:val="en-US" w:eastAsia="zh-CN" w:bidi="ar"/>
              </w:rPr>
              <w:t>型</w:t>
            </w:r>
          </w:p>
        </w:tc>
        <w:tc>
          <w:tcPr>
            <w:tcW w:w="1845" w:type="dxa"/>
            <w:gridSpan w:val="3"/>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7C03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项目、获奖级别</w:t>
            </w:r>
          </w:p>
        </w:tc>
        <w:tc>
          <w:tcPr>
            <w:tcW w:w="480"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10C5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单位</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分值</w:t>
            </w:r>
          </w:p>
        </w:tc>
        <w:tc>
          <w:tcPr>
            <w:tcW w:w="975"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3B38F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暑名权重</w:t>
            </w:r>
          </w:p>
        </w:tc>
        <w:tc>
          <w:tcPr>
            <w:tcW w:w="6600"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92E3A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备注</w:t>
            </w:r>
          </w:p>
        </w:tc>
      </w:tr>
      <w:tr w14:paraId="70A8F264">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4D0CCDD">
            <w:pPr>
              <w:rPr>
                <w:rFonts w:hint="eastAsia" w:ascii="微软雅黑" w:hAnsi="微软雅黑" w:eastAsia="微软雅黑" w:cs="微软雅黑"/>
                <w:i w:val="0"/>
                <w:iCs w:val="0"/>
                <w:caps w:val="0"/>
                <w:color w:val="333333"/>
                <w:spacing w:val="0"/>
                <w:sz w:val="21"/>
                <w:szCs w:val="21"/>
              </w:rPr>
            </w:pPr>
          </w:p>
        </w:tc>
        <w:tc>
          <w:tcPr>
            <w:tcW w:w="1845" w:type="dxa"/>
            <w:gridSpan w:val="3"/>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35ABE12">
            <w:pPr>
              <w:rPr>
                <w:rFonts w:hint="eastAsia" w:ascii="微软雅黑" w:hAnsi="微软雅黑" w:eastAsia="微软雅黑" w:cs="微软雅黑"/>
                <w:i w:val="0"/>
                <w:iCs w:val="0"/>
                <w:caps w:val="0"/>
                <w:color w:val="333333"/>
                <w:spacing w:val="0"/>
                <w:sz w:val="21"/>
                <w:szCs w:val="21"/>
              </w:rPr>
            </w:pPr>
          </w:p>
        </w:tc>
        <w:tc>
          <w:tcPr>
            <w:tcW w:w="480"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15A8F1F">
            <w:pPr>
              <w:rPr>
                <w:rFonts w:hint="eastAsia" w:ascii="微软雅黑" w:hAnsi="微软雅黑" w:eastAsia="微软雅黑" w:cs="微软雅黑"/>
                <w:i w:val="0"/>
                <w:iCs w:val="0"/>
                <w:caps w:val="0"/>
                <w:color w:val="333333"/>
                <w:spacing w:val="0"/>
                <w:sz w:val="21"/>
                <w:szCs w:val="21"/>
              </w:rPr>
            </w:pP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E79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w:t>
            </w:r>
          </w:p>
        </w:tc>
        <w:tc>
          <w:tcPr>
            <w:tcW w:w="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32C4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2</w:t>
            </w:r>
          </w:p>
        </w:tc>
        <w:tc>
          <w:tcPr>
            <w:tcW w:w="6600"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13E32FD">
            <w:pPr>
              <w:rPr>
                <w:rFonts w:hint="eastAsia" w:ascii="微软雅黑" w:hAnsi="微软雅黑" w:eastAsia="微软雅黑" w:cs="微软雅黑"/>
                <w:i w:val="0"/>
                <w:iCs w:val="0"/>
                <w:caps w:val="0"/>
                <w:color w:val="333333"/>
                <w:spacing w:val="0"/>
                <w:sz w:val="21"/>
                <w:szCs w:val="21"/>
              </w:rPr>
            </w:pPr>
          </w:p>
        </w:tc>
      </w:tr>
      <w:tr w14:paraId="35896078">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71A4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论文</w:t>
            </w: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1085B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TI论文/CCF A论文</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FFC2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360</w:t>
            </w:r>
          </w:p>
        </w:tc>
        <w:tc>
          <w:tcPr>
            <w:tcW w:w="3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67BBA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w:t>
            </w:r>
          </w:p>
        </w:tc>
        <w:tc>
          <w:tcPr>
            <w:tcW w:w="3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46DF5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0.7</w:t>
            </w:r>
          </w:p>
        </w:tc>
        <w:tc>
          <w:tcPr>
            <w:tcW w:w="660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3D0381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195" w:lineRule="atLeast"/>
              <w:ind w:left="0" w:right="0"/>
              <w:jc w:val="left"/>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1、文章必须是已发表，或有DOI且已online；</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2、必须以我校为第一署名单位，学生为一作，或导师一作、学生二作。导师可为研究生院备案导师或实际导师，但所有文章必须一致；</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3、T1-T3论文，按发表时，学校最新执行的“三类高质量论文”期刊和学术会议目录为准；</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4、CCF论文，按论文发表时，CCF发布的《CCF推荐国际学术会议和期刊目录》为准；</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5、SCIE论文以Web of Science为准；</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6、同一篇文章分属T1-T3，CCF，SCI不同分类时，不重复计算，按最高分数计分；</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7、导师和学生明确标注共同第一作者的，学生视为第一作者；若明确标注的共同第一作者均为学生，只取一人计分，由学生自行商定积分归属，协商无果的，按论文作者自然排序认定第一作者。</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8、数量限制：同一计分周期内，每生总论文数不超过3篇；EI、CSCD论文，最多只取一篇计分；第二作者论文只取2篇计分。</w:t>
            </w:r>
          </w:p>
        </w:tc>
      </w:tr>
      <w:tr w14:paraId="50A0AB28">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1D0A607">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3947D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T2论文/CCF B论文</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868F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180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4F4B0C0">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DB8B9E3">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5A72F97">
            <w:pPr>
              <w:rPr>
                <w:rFonts w:hint="eastAsia" w:ascii="微软雅黑" w:hAnsi="微软雅黑" w:eastAsia="微软雅黑" w:cs="微软雅黑"/>
                <w:i w:val="0"/>
                <w:iCs w:val="0"/>
                <w:caps w:val="0"/>
                <w:color w:val="333333"/>
                <w:spacing w:val="0"/>
                <w:sz w:val="21"/>
                <w:szCs w:val="21"/>
              </w:rPr>
            </w:pPr>
          </w:p>
        </w:tc>
      </w:tr>
      <w:tr w14:paraId="418AF0BA">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FF024EA">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22514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T3论文/CCF C论文</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476D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90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A0FB19B">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2C72046">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C218F9F">
            <w:pPr>
              <w:rPr>
                <w:rFonts w:hint="eastAsia" w:ascii="微软雅黑" w:hAnsi="微软雅黑" w:eastAsia="微软雅黑" w:cs="微软雅黑"/>
                <w:i w:val="0"/>
                <w:iCs w:val="0"/>
                <w:caps w:val="0"/>
                <w:color w:val="333333"/>
                <w:spacing w:val="0"/>
                <w:sz w:val="21"/>
                <w:szCs w:val="21"/>
              </w:rPr>
            </w:pPr>
          </w:p>
        </w:tc>
      </w:tr>
      <w:tr w14:paraId="1E5B7827">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3A286F0">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74ACB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SCI(E)一区</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A01C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240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C293C94">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A510157">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3CE04DC">
            <w:pPr>
              <w:rPr>
                <w:rFonts w:hint="eastAsia" w:ascii="微软雅黑" w:hAnsi="微软雅黑" w:eastAsia="微软雅黑" w:cs="微软雅黑"/>
                <w:i w:val="0"/>
                <w:iCs w:val="0"/>
                <w:caps w:val="0"/>
                <w:color w:val="333333"/>
                <w:spacing w:val="0"/>
                <w:sz w:val="21"/>
                <w:szCs w:val="21"/>
              </w:rPr>
            </w:pPr>
          </w:p>
        </w:tc>
      </w:tr>
      <w:tr w14:paraId="61FD91B5">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5C754DC">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153D7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SCI(E)二区</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B571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120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F4389CA">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D18FE7F">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1C8F220">
            <w:pPr>
              <w:rPr>
                <w:rFonts w:hint="eastAsia" w:ascii="微软雅黑" w:hAnsi="微软雅黑" w:eastAsia="微软雅黑" w:cs="微软雅黑"/>
                <w:i w:val="0"/>
                <w:iCs w:val="0"/>
                <w:caps w:val="0"/>
                <w:color w:val="333333"/>
                <w:spacing w:val="0"/>
                <w:sz w:val="21"/>
                <w:szCs w:val="21"/>
              </w:rPr>
            </w:pPr>
          </w:p>
        </w:tc>
      </w:tr>
      <w:tr w14:paraId="54C4A0D6">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9787895">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3829F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SCI(E)三/四区</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CADA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60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8CCF467">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4446881">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A6CFF2A">
            <w:pPr>
              <w:rPr>
                <w:rFonts w:hint="eastAsia" w:ascii="微软雅黑" w:hAnsi="微软雅黑" w:eastAsia="微软雅黑" w:cs="微软雅黑"/>
                <w:i w:val="0"/>
                <w:iCs w:val="0"/>
                <w:caps w:val="0"/>
                <w:color w:val="333333"/>
                <w:spacing w:val="0"/>
                <w:sz w:val="21"/>
                <w:szCs w:val="21"/>
              </w:rPr>
            </w:pPr>
          </w:p>
        </w:tc>
      </w:tr>
      <w:tr w14:paraId="5FAE6FEE">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1E10F98">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603AA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国内权威期刊</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430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90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EC41FBD">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D130D1B">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94D3B6E">
            <w:pPr>
              <w:rPr>
                <w:rFonts w:hint="eastAsia" w:ascii="微软雅黑" w:hAnsi="微软雅黑" w:eastAsia="微软雅黑" w:cs="微软雅黑"/>
                <w:i w:val="0"/>
                <w:iCs w:val="0"/>
                <w:caps w:val="0"/>
                <w:color w:val="333333"/>
                <w:spacing w:val="0"/>
                <w:sz w:val="21"/>
                <w:szCs w:val="21"/>
              </w:rPr>
            </w:pPr>
          </w:p>
        </w:tc>
      </w:tr>
      <w:tr w14:paraId="3C806277">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FF871F3">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55554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EI期刊或会议论文</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4056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40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7ACC466">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EAFB3AD">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5A00F2D">
            <w:pPr>
              <w:rPr>
                <w:rFonts w:hint="eastAsia" w:ascii="微软雅黑" w:hAnsi="微软雅黑" w:eastAsia="微软雅黑" w:cs="微软雅黑"/>
                <w:i w:val="0"/>
                <w:iCs w:val="0"/>
                <w:caps w:val="0"/>
                <w:color w:val="333333"/>
                <w:spacing w:val="0"/>
                <w:sz w:val="21"/>
                <w:szCs w:val="21"/>
              </w:rPr>
            </w:pPr>
          </w:p>
        </w:tc>
      </w:tr>
      <w:tr w14:paraId="357B8A03">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30061F7">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52442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CSCD收录期刊</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C6EE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E8111A2">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D508FAE">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A1E6482">
            <w:pPr>
              <w:rPr>
                <w:rFonts w:hint="eastAsia" w:ascii="微软雅黑" w:hAnsi="微软雅黑" w:eastAsia="微软雅黑" w:cs="微软雅黑"/>
                <w:i w:val="0"/>
                <w:iCs w:val="0"/>
                <w:caps w:val="0"/>
                <w:color w:val="333333"/>
                <w:spacing w:val="0"/>
                <w:sz w:val="21"/>
                <w:szCs w:val="21"/>
              </w:rPr>
            </w:pPr>
          </w:p>
        </w:tc>
      </w:tr>
      <w:tr w14:paraId="54252BF8">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C291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竞赛获奖</w:t>
            </w:r>
          </w:p>
        </w:tc>
        <w:tc>
          <w:tcPr>
            <w:tcW w:w="36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0BEA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1类</w:t>
            </w:r>
          </w:p>
        </w:tc>
        <w:tc>
          <w:tcPr>
            <w:tcW w:w="3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41722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国赛</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2B38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18C80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26E5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10000</w:t>
            </w:r>
          </w:p>
        </w:tc>
        <w:tc>
          <w:tcPr>
            <w:tcW w:w="3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2BC1F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w:t>
            </w:r>
          </w:p>
        </w:tc>
        <w:tc>
          <w:tcPr>
            <w:tcW w:w="3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18051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w:t>
            </w:r>
          </w:p>
        </w:tc>
        <w:tc>
          <w:tcPr>
            <w:tcW w:w="660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0E44D7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195" w:lineRule="atLeast"/>
              <w:ind w:left="0" w:right="0"/>
              <w:jc w:val="left"/>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1、多人参加的团队项目，若排名分先后，则：按权重占比分配积分(排名第1权重计为1，排名第2权重计为0.5，排名第3权重计为0.4，排名第4权重计为0.3，排名第5权重计0.2，排名第6及之后的权重均计为0.1；</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2、多人参加的团队项目，若排名不分先后，则按人数平均分配积分；</w:t>
            </w:r>
          </w:p>
          <w:p w14:paraId="2258B3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195" w:lineRule="atLeast"/>
              <w:ind w:left="0" w:right="0"/>
              <w:jc w:val="left"/>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3、可参评计分的学科竞赛以教务处发布的竞赛列表为准：</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4、国际获奖(如美国大学生数学建模竞赛、ACM国际大学生程序设计竞赛等)、特等奖按相应级别的一等奖分值计算：</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5、未标明奖励等级的成果按相应级别奖励的三等奖分值计，其获奖等级由学院评审委员会最终决定：</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6、数量限制：同一计分周期内，同一项竞赛每生仅限1项计分；同一个竞赛项目多级别、多竞赛获奖时，不重复计算，按最高级别计分。</w:t>
            </w:r>
          </w:p>
        </w:tc>
      </w:tr>
      <w:tr w14:paraId="70E4B310">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A06215F">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CD53E2B">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6A16236">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D02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第二</w:t>
            </w:r>
          </w:p>
          <w:p w14:paraId="12ECB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5AFA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5000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4D2EA21">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13452D5">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F9962D6">
            <w:pPr>
              <w:rPr>
                <w:rFonts w:hint="eastAsia" w:ascii="微软雅黑" w:hAnsi="微软雅黑" w:eastAsia="微软雅黑" w:cs="微软雅黑"/>
                <w:i w:val="0"/>
                <w:iCs w:val="0"/>
                <w:caps w:val="0"/>
                <w:color w:val="333333"/>
                <w:spacing w:val="0"/>
                <w:sz w:val="21"/>
                <w:szCs w:val="21"/>
              </w:rPr>
            </w:pPr>
          </w:p>
        </w:tc>
      </w:tr>
      <w:tr w14:paraId="5840F553">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82ED989">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CE700EA">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BA3C759">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4B00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第三</w:t>
            </w:r>
          </w:p>
          <w:p w14:paraId="5CBCD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7635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3000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07F9DFA">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4233B2C">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BE2359E">
            <w:pPr>
              <w:rPr>
                <w:rFonts w:hint="eastAsia" w:ascii="微软雅黑" w:hAnsi="微软雅黑" w:eastAsia="微软雅黑" w:cs="微软雅黑"/>
                <w:i w:val="0"/>
                <w:iCs w:val="0"/>
                <w:caps w:val="0"/>
                <w:color w:val="333333"/>
                <w:spacing w:val="0"/>
                <w:sz w:val="21"/>
                <w:szCs w:val="21"/>
              </w:rPr>
            </w:pPr>
          </w:p>
        </w:tc>
      </w:tr>
      <w:tr w14:paraId="13FA5868">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936B536">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82C22D6">
            <w:pPr>
              <w:rPr>
                <w:rFonts w:hint="eastAsia" w:ascii="微软雅黑" w:hAnsi="微软雅黑" w:eastAsia="微软雅黑" w:cs="微软雅黑"/>
                <w:i w:val="0"/>
                <w:iCs w:val="0"/>
                <w:caps w:val="0"/>
                <w:color w:val="333333"/>
                <w:spacing w:val="0"/>
                <w:sz w:val="21"/>
                <w:szCs w:val="21"/>
              </w:rPr>
            </w:pPr>
          </w:p>
        </w:tc>
        <w:tc>
          <w:tcPr>
            <w:tcW w:w="3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629C1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省赛</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E576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23AC5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DB79B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919E6B0">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C28748C">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2EDA9B2">
            <w:pPr>
              <w:rPr>
                <w:rFonts w:hint="eastAsia" w:ascii="微软雅黑" w:hAnsi="微软雅黑" w:eastAsia="微软雅黑" w:cs="微软雅黑"/>
                <w:i w:val="0"/>
                <w:iCs w:val="0"/>
                <w:caps w:val="0"/>
                <w:color w:val="333333"/>
                <w:spacing w:val="0"/>
                <w:sz w:val="21"/>
                <w:szCs w:val="21"/>
              </w:rPr>
            </w:pPr>
          </w:p>
        </w:tc>
      </w:tr>
      <w:tr w14:paraId="50761600">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83AE0AB">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3D3D935">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2F4156E">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A347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第二</w:t>
            </w:r>
          </w:p>
          <w:p w14:paraId="6342D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4116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500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6A42A9E">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4D22E38">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EFD2AB5">
            <w:pPr>
              <w:rPr>
                <w:rFonts w:hint="eastAsia" w:ascii="微软雅黑" w:hAnsi="微软雅黑" w:eastAsia="微软雅黑" w:cs="微软雅黑"/>
                <w:i w:val="0"/>
                <w:iCs w:val="0"/>
                <w:caps w:val="0"/>
                <w:color w:val="333333"/>
                <w:spacing w:val="0"/>
                <w:sz w:val="21"/>
                <w:szCs w:val="21"/>
              </w:rPr>
            </w:pPr>
          </w:p>
        </w:tc>
      </w:tr>
      <w:tr w14:paraId="527671DF">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CDA2ACD">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269C26C">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A3AE3D6">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7764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第三</w:t>
            </w:r>
          </w:p>
          <w:p w14:paraId="63E5A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B972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5EFE782">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8299110">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C4A218E">
            <w:pPr>
              <w:rPr>
                <w:rFonts w:hint="eastAsia" w:ascii="微软雅黑" w:hAnsi="微软雅黑" w:eastAsia="微软雅黑" w:cs="微软雅黑"/>
                <w:i w:val="0"/>
                <w:iCs w:val="0"/>
                <w:caps w:val="0"/>
                <w:color w:val="333333"/>
                <w:spacing w:val="0"/>
                <w:sz w:val="21"/>
                <w:szCs w:val="21"/>
              </w:rPr>
            </w:pPr>
          </w:p>
        </w:tc>
      </w:tr>
      <w:tr w14:paraId="3D3C51E0">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32B382C">
            <w:pPr>
              <w:rPr>
                <w:rFonts w:hint="eastAsia" w:ascii="微软雅黑" w:hAnsi="微软雅黑" w:eastAsia="微软雅黑" w:cs="微软雅黑"/>
                <w:i w:val="0"/>
                <w:iCs w:val="0"/>
                <w:caps w:val="0"/>
                <w:color w:val="333333"/>
                <w:spacing w:val="0"/>
                <w:sz w:val="21"/>
                <w:szCs w:val="21"/>
              </w:rPr>
            </w:pPr>
          </w:p>
        </w:tc>
        <w:tc>
          <w:tcPr>
            <w:tcW w:w="36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7E36D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11类</w:t>
            </w:r>
          </w:p>
        </w:tc>
        <w:tc>
          <w:tcPr>
            <w:tcW w:w="3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2317F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国赛</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9877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01B4C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97F6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600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BF56529">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304AEA8">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888EF66">
            <w:pPr>
              <w:rPr>
                <w:rFonts w:hint="eastAsia" w:ascii="微软雅黑" w:hAnsi="微软雅黑" w:eastAsia="微软雅黑" w:cs="微软雅黑"/>
                <w:i w:val="0"/>
                <w:iCs w:val="0"/>
                <w:caps w:val="0"/>
                <w:color w:val="333333"/>
                <w:spacing w:val="0"/>
                <w:sz w:val="21"/>
                <w:szCs w:val="21"/>
              </w:rPr>
            </w:pPr>
          </w:p>
        </w:tc>
      </w:tr>
      <w:tr w14:paraId="56E20F7D">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1260ECF">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CD4B7DF">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16EF3B2">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4D7D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第二</w:t>
            </w:r>
          </w:p>
          <w:p w14:paraId="1E881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32DA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400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4E96EA3">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6887935">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570261C">
            <w:pPr>
              <w:rPr>
                <w:rFonts w:hint="eastAsia" w:ascii="微软雅黑" w:hAnsi="微软雅黑" w:eastAsia="微软雅黑" w:cs="微软雅黑"/>
                <w:i w:val="0"/>
                <w:iCs w:val="0"/>
                <w:caps w:val="0"/>
                <w:color w:val="333333"/>
                <w:spacing w:val="0"/>
                <w:sz w:val="21"/>
                <w:szCs w:val="21"/>
              </w:rPr>
            </w:pPr>
          </w:p>
        </w:tc>
      </w:tr>
      <w:tr w14:paraId="12013414">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9C90480">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291FB7D">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B7F951D">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D72E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第三</w:t>
            </w:r>
          </w:p>
          <w:p w14:paraId="7AA18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0474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200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9DACFFC">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CFF03E9">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D836A06">
            <w:pPr>
              <w:rPr>
                <w:rFonts w:hint="eastAsia" w:ascii="微软雅黑" w:hAnsi="微软雅黑" w:eastAsia="微软雅黑" w:cs="微软雅黑"/>
                <w:i w:val="0"/>
                <w:iCs w:val="0"/>
                <w:caps w:val="0"/>
                <w:color w:val="333333"/>
                <w:spacing w:val="0"/>
                <w:sz w:val="21"/>
                <w:szCs w:val="21"/>
              </w:rPr>
            </w:pPr>
          </w:p>
        </w:tc>
      </w:tr>
      <w:tr w14:paraId="4BD8B00E">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3EA6B21">
            <w:pPr>
              <w:rPr>
                <w:rFonts w:hint="eastAsia" w:ascii="微软雅黑" w:hAnsi="微软雅黑" w:eastAsia="微软雅黑" w:cs="微软雅黑"/>
                <w:i w:val="0"/>
                <w:iCs w:val="0"/>
                <w:caps w:val="0"/>
                <w:color w:val="333333"/>
                <w:spacing w:val="0"/>
                <w:sz w:val="21"/>
                <w:szCs w:val="21"/>
              </w:rPr>
            </w:pPr>
          </w:p>
        </w:tc>
        <w:tc>
          <w:tcPr>
            <w:tcW w:w="36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33638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III</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类</w:t>
            </w:r>
          </w:p>
        </w:tc>
        <w:tc>
          <w:tcPr>
            <w:tcW w:w="3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66E81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国家级</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5CB6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1EA62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E94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500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D1520D8">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3CFB89E">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20B4D67">
            <w:pPr>
              <w:rPr>
                <w:rFonts w:hint="eastAsia" w:ascii="微软雅黑" w:hAnsi="微软雅黑" w:eastAsia="微软雅黑" w:cs="微软雅黑"/>
                <w:i w:val="0"/>
                <w:iCs w:val="0"/>
                <w:caps w:val="0"/>
                <w:color w:val="333333"/>
                <w:spacing w:val="0"/>
                <w:sz w:val="21"/>
                <w:szCs w:val="21"/>
              </w:rPr>
            </w:pPr>
          </w:p>
        </w:tc>
      </w:tr>
      <w:tr w14:paraId="5943ACBB">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79BB6F4">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EB20DDB">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E556D85">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7628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第二</w:t>
            </w:r>
          </w:p>
          <w:p w14:paraId="4CA4F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F928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1899A2D">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0DAA2DA">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20A8E65">
            <w:pPr>
              <w:rPr>
                <w:rFonts w:hint="eastAsia" w:ascii="微软雅黑" w:hAnsi="微软雅黑" w:eastAsia="微软雅黑" w:cs="微软雅黑"/>
                <w:i w:val="0"/>
                <w:iCs w:val="0"/>
                <w:caps w:val="0"/>
                <w:color w:val="333333"/>
                <w:spacing w:val="0"/>
                <w:sz w:val="21"/>
                <w:szCs w:val="21"/>
              </w:rPr>
            </w:pPr>
          </w:p>
        </w:tc>
      </w:tr>
      <w:tr w14:paraId="42E1EE39">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39D9CFF">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A1E803A">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F9AB637">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2D80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第三</w:t>
            </w:r>
          </w:p>
          <w:p w14:paraId="08B49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690B9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C77E750">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725CEF6">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BDA31FE">
            <w:pPr>
              <w:rPr>
                <w:rFonts w:hint="eastAsia" w:ascii="微软雅黑" w:hAnsi="微软雅黑" w:eastAsia="微软雅黑" w:cs="微软雅黑"/>
                <w:i w:val="0"/>
                <w:iCs w:val="0"/>
                <w:caps w:val="0"/>
                <w:color w:val="333333"/>
                <w:spacing w:val="0"/>
                <w:sz w:val="21"/>
                <w:szCs w:val="21"/>
              </w:rPr>
            </w:pPr>
          </w:p>
        </w:tc>
      </w:tr>
      <w:tr w14:paraId="1F0ACD24">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0634D51">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3D78522">
            <w:pPr>
              <w:rPr>
                <w:rFonts w:hint="eastAsia" w:ascii="微软雅黑" w:hAnsi="微软雅黑" w:eastAsia="微软雅黑" w:cs="微软雅黑"/>
                <w:i w:val="0"/>
                <w:iCs w:val="0"/>
                <w:caps w:val="0"/>
                <w:color w:val="333333"/>
                <w:spacing w:val="0"/>
                <w:sz w:val="21"/>
                <w:szCs w:val="21"/>
              </w:rPr>
            </w:pPr>
          </w:p>
        </w:tc>
        <w:tc>
          <w:tcPr>
            <w:tcW w:w="3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27707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国家级</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社会力</w:t>
            </w:r>
            <w:r>
              <w:rPr>
                <w:rFonts w:hint="eastAsia" w:ascii="仿宋" w:hAnsi="仿宋" w:eastAsia="仿宋" w:cs="仿宋"/>
                <w:i w:val="0"/>
                <w:iCs w:val="0"/>
                <w:caps w:val="0"/>
                <w:color w:val="333333"/>
                <w:spacing w:val="0"/>
                <w:kern w:val="0"/>
                <w:sz w:val="16"/>
                <w:szCs w:val="16"/>
                <w:bdr w:val="none" w:color="auto" w:sz="0" w:space="0"/>
                <w:lang w:val="en-US" w:eastAsia="zh-CN" w:bidi="ar"/>
              </w:rPr>
              <w:br w:type="textWrapping"/>
            </w:r>
            <w:r>
              <w:rPr>
                <w:rFonts w:hint="eastAsia" w:ascii="仿宋" w:hAnsi="仿宋" w:eastAsia="仿宋" w:cs="仿宋"/>
                <w:i w:val="0"/>
                <w:iCs w:val="0"/>
                <w:caps w:val="0"/>
                <w:color w:val="333333"/>
                <w:spacing w:val="0"/>
                <w:kern w:val="0"/>
                <w:sz w:val="18"/>
                <w:szCs w:val="18"/>
                <w:bdr w:val="none" w:color="auto" w:sz="0" w:space="0"/>
                <w:lang w:val="en-US" w:eastAsia="zh-CN" w:bidi="ar"/>
              </w:rPr>
              <w:t>量</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18A4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3B3BD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1AAA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300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85315F4">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04F81A24">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A095DF1">
            <w:pPr>
              <w:rPr>
                <w:rFonts w:hint="eastAsia" w:ascii="微软雅黑" w:hAnsi="微软雅黑" w:eastAsia="微软雅黑" w:cs="微软雅黑"/>
                <w:i w:val="0"/>
                <w:iCs w:val="0"/>
                <w:caps w:val="0"/>
                <w:color w:val="333333"/>
                <w:spacing w:val="0"/>
                <w:sz w:val="21"/>
                <w:szCs w:val="21"/>
              </w:rPr>
            </w:pPr>
          </w:p>
        </w:tc>
      </w:tr>
      <w:tr w14:paraId="69CDE838">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67A483E">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E019D38">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0A425C4">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6770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第二</w:t>
            </w:r>
          </w:p>
          <w:p w14:paraId="6D116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D738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9969B27">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C3A4923">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0F55291">
            <w:pPr>
              <w:rPr>
                <w:rFonts w:hint="eastAsia" w:ascii="微软雅黑" w:hAnsi="微软雅黑" w:eastAsia="微软雅黑" w:cs="微软雅黑"/>
                <w:i w:val="0"/>
                <w:iCs w:val="0"/>
                <w:caps w:val="0"/>
                <w:color w:val="333333"/>
                <w:spacing w:val="0"/>
                <w:sz w:val="21"/>
                <w:szCs w:val="21"/>
              </w:rPr>
            </w:pPr>
          </w:p>
        </w:tc>
      </w:tr>
      <w:tr w14:paraId="4A3B9CA5">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6B00BD6">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1E5CD58D">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FA5AE5C">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E0CD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第三</w:t>
            </w:r>
          </w:p>
          <w:p w14:paraId="13A2A5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28AC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50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7A76C19">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FA74F4F">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1E03787">
            <w:pPr>
              <w:rPr>
                <w:rFonts w:hint="eastAsia" w:ascii="微软雅黑" w:hAnsi="微软雅黑" w:eastAsia="微软雅黑" w:cs="微软雅黑"/>
                <w:i w:val="0"/>
                <w:iCs w:val="0"/>
                <w:caps w:val="0"/>
                <w:color w:val="333333"/>
                <w:spacing w:val="0"/>
                <w:sz w:val="21"/>
                <w:szCs w:val="21"/>
              </w:rPr>
            </w:pPr>
          </w:p>
        </w:tc>
      </w:tr>
      <w:tr w14:paraId="1AC6414E">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5C37BA0">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2C0C8FFC">
            <w:pPr>
              <w:rPr>
                <w:rFonts w:hint="eastAsia" w:ascii="微软雅黑" w:hAnsi="微软雅黑" w:eastAsia="微软雅黑" w:cs="微软雅黑"/>
                <w:i w:val="0"/>
                <w:iCs w:val="0"/>
                <w:caps w:val="0"/>
                <w:color w:val="333333"/>
                <w:spacing w:val="0"/>
                <w:sz w:val="21"/>
                <w:szCs w:val="21"/>
              </w:rPr>
            </w:pPr>
          </w:p>
        </w:tc>
        <w:tc>
          <w:tcPr>
            <w:tcW w:w="31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47781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省级</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583B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03204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F80E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770DBBF">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7848BF69">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C637A77">
            <w:pPr>
              <w:rPr>
                <w:rFonts w:hint="eastAsia" w:ascii="微软雅黑" w:hAnsi="微软雅黑" w:eastAsia="微软雅黑" w:cs="微软雅黑"/>
                <w:i w:val="0"/>
                <w:iCs w:val="0"/>
                <w:caps w:val="0"/>
                <w:color w:val="333333"/>
                <w:spacing w:val="0"/>
                <w:sz w:val="21"/>
                <w:szCs w:val="21"/>
              </w:rPr>
            </w:pPr>
          </w:p>
        </w:tc>
      </w:tr>
      <w:tr w14:paraId="0101383F">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859FE64">
            <w:pPr>
              <w:rPr>
                <w:rFonts w:hint="eastAsia" w:ascii="微软雅黑" w:hAnsi="微软雅黑" w:eastAsia="微软雅黑" w:cs="微软雅黑"/>
                <w:i w:val="0"/>
                <w:iCs w:val="0"/>
                <w:caps w:val="0"/>
                <w:color w:val="333333"/>
                <w:spacing w:val="0"/>
                <w:sz w:val="21"/>
                <w:szCs w:val="21"/>
              </w:rPr>
            </w:pPr>
          </w:p>
        </w:tc>
        <w:tc>
          <w:tcPr>
            <w:tcW w:w="36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20CEA48">
            <w:pPr>
              <w:rPr>
                <w:rFonts w:hint="eastAsia" w:ascii="微软雅黑" w:hAnsi="微软雅黑" w:eastAsia="微软雅黑" w:cs="微软雅黑"/>
                <w:i w:val="0"/>
                <w:iCs w:val="0"/>
                <w:caps w:val="0"/>
                <w:color w:val="333333"/>
                <w:spacing w:val="0"/>
                <w:sz w:val="21"/>
                <w:szCs w:val="21"/>
              </w:rPr>
            </w:pPr>
          </w:p>
        </w:tc>
        <w:tc>
          <w:tcPr>
            <w:tcW w:w="31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9EFAA0F">
            <w:pPr>
              <w:rPr>
                <w:rFonts w:hint="eastAsia" w:ascii="微软雅黑" w:hAnsi="微软雅黑" w:eastAsia="微软雅黑" w:cs="微软雅黑"/>
                <w:i w:val="0"/>
                <w:iCs w:val="0"/>
                <w:caps w:val="0"/>
                <w:color w:val="333333"/>
                <w:spacing w:val="0"/>
                <w:sz w:val="21"/>
                <w:szCs w:val="21"/>
              </w:rPr>
            </w:pP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5706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第二</w:t>
            </w:r>
          </w:p>
          <w:p w14:paraId="0D3A9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959C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50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DEF63F5">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8EAD5DA">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5D96870B">
            <w:pPr>
              <w:rPr>
                <w:rFonts w:hint="eastAsia" w:ascii="微软雅黑" w:hAnsi="微软雅黑" w:eastAsia="微软雅黑" w:cs="微软雅黑"/>
                <w:i w:val="0"/>
                <w:iCs w:val="0"/>
                <w:caps w:val="0"/>
                <w:color w:val="333333"/>
                <w:spacing w:val="0"/>
                <w:sz w:val="21"/>
                <w:szCs w:val="21"/>
              </w:rPr>
            </w:pPr>
          </w:p>
        </w:tc>
      </w:tr>
      <w:tr w14:paraId="17109273">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5096B50">
            <w:pPr>
              <w:rPr>
                <w:rFonts w:hint="eastAsia" w:ascii="微软雅黑" w:hAnsi="微软雅黑" w:eastAsia="微软雅黑" w:cs="微软雅黑"/>
                <w:i w:val="0"/>
                <w:iCs w:val="0"/>
                <w:caps w:val="0"/>
                <w:color w:val="333333"/>
                <w:spacing w:val="0"/>
                <w:sz w:val="21"/>
                <w:szCs w:val="21"/>
              </w:rPr>
            </w:pPr>
          </w:p>
        </w:tc>
        <w:tc>
          <w:tcPr>
            <w:tcW w:w="36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CEB0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IV类</w:t>
            </w:r>
          </w:p>
        </w:tc>
        <w:tc>
          <w:tcPr>
            <w:tcW w:w="3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A409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省级</w:t>
            </w:r>
          </w:p>
          <w:p w14:paraId="211AB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社会力量</w:t>
            </w:r>
          </w:p>
        </w:tc>
        <w:tc>
          <w:tcPr>
            <w:tcW w:w="72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E4A9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第一</w:t>
            </w:r>
          </w:p>
          <w:p w14:paraId="6E201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等级</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E14A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40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265E0DF">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1042C4E">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C68545B">
            <w:pPr>
              <w:rPr>
                <w:rFonts w:hint="eastAsia" w:ascii="微软雅黑" w:hAnsi="微软雅黑" w:eastAsia="微软雅黑" w:cs="微软雅黑"/>
                <w:i w:val="0"/>
                <w:iCs w:val="0"/>
                <w:caps w:val="0"/>
                <w:color w:val="333333"/>
                <w:spacing w:val="0"/>
                <w:sz w:val="21"/>
                <w:szCs w:val="21"/>
              </w:rPr>
            </w:pPr>
          </w:p>
        </w:tc>
      </w:tr>
      <w:tr w14:paraId="055C5CB1">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A5E7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专利</w:t>
            </w: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0FF1C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发明专利授权</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7635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160</w:t>
            </w:r>
          </w:p>
        </w:tc>
        <w:tc>
          <w:tcPr>
            <w:tcW w:w="3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64EB2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1.0</w:t>
            </w:r>
          </w:p>
        </w:tc>
        <w:tc>
          <w:tcPr>
            <w:tcW w:w="375"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093C6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0.7</w:t>
            </w:r>
          </w:p>
        </w:tc>
        <w:tc>
          <w:tcPr>
            <w:tcW w:w="6600" w:type="dxa"/>
            <w:vMerge w:val="restart"/>
            <w:tcBorders>
              <w:top w:val="nil"/>
              <w:left w:val="nil"/>
              <w:bottom w:val="single" w:color="000000" w:sz="6" w:space="0"/>
              <w:right w:val="single" w:color="000000" w:sz="6" w:space="0"/>
            </w:tcBorders>
            <w:shd w:val="clear" w:color="auto" w:fill="FFFFFF"/>
            <w:tcMar>
              <w:left w:w="105" w:type="dxa"/>
              <w:right w:w="105" w:type="dxa"/>
            </w:tcMar>
            <w:vAlign w:val="center"/>
          </w:tcPr>
          <w:p w14:paraId="600CD2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同一计分周期内，每生专利总数不超过2项，如超过，只计前2项。</w:t>
            </w:r>
          </w:p>
        </w:tc>
      </w:tr>
      <w:tr w14:paraId="4D86CF57">
        <w:tblPrEx>
          <w:tblBorders>
            <w:top w:val="none" w:color="DDDDDD" w:sz="0" w:space="0"/>
            <w:left w:val="none" w:color="DDDDDD" w:sz="0" w:space="0"/>
            <w:bottom w:val="none" w:color="DDDDDD" w:sz="0" w:space="0"/>
            <w:right w:val="none" w:color="DDDDDD"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15"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B9D6FE6">
            <w:pPr>
              <w:rPr>
                <w:rFonts w:hint="eastAsia" w:ascii="微软雅黑" w:hAnsi="微软雅黑" w:eastAsia="微软雅黑" w:cs="微软雅黑"/>
                <w:i w:val="0"/>
                <w:iCs w:val="0"/>
                <w:caps w:val="0"/>
                <w:color w:val="333333"/>
                <w:spacing w:val="0"/>
                <w:sz w:val="21"/>
                <w:szCs w:val="21"/>
              </w:rPr>
            </w:pPr>
          </w:p>
        </w:tc>
        <w:tc>
          <w:tcPr>
            <w:tcW w:w="1845"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14:paraId="6BEAA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发明专利(实质审查)</w:t>
            </w:r>
          </w:p>
        </w:tc>
        <w:tc>
          <w:tcPr>
            <w:tcW w:w="4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6F02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95" w:lineRule="atLeast"/>
              <w:ind w:left="0" w:right="0"/>
              <w:jc w:val="center"/>
              <w:rPr>
                <w:color w:val="333333"/>
                <w:sz w:val="21"/>
                <w:szCs w:val="21"/>
              </w:rPr>
            </w:pPr>
            <w:r>
              <w:rPr>
                <w:rFonts w:hint="eastAsia" w:ascii="仿宋" w:hAnsi="仿宋" w:eastAsia="仿宋" w:cs="仿宋"/>
                <w:i w:val="0"/>
                <w:iCs w:val="0"/>
                <w:caps w:val="0"/>
                <w:color w:val="333333"/>
                <w:spacing w:val="0"/>
                <w:kern w:val="0"/>
                <w:sz w:val="18"/>
                <w:szCs w:val="18"/>
                <w:bdr w:val="none" w:color="auto" w:sz="0" w:space="0"/>
                <w:lang w:val="en-US" w:eastAsia="zh-CN" w:bidi="ar"/>
              </w:rPr>
              <w:t>80</w:t>
            </w: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41E597FD">
            <w:pPr>
              <w:rPr>
                <w:rFonts w:hint="eastAsia" w:ascii="微软雅黑" w:hAnsi="微软雅黑" w:eastAsia="微软雅黑" w:cs="微软雅黑"/>
                <w:i w:val="0"/>
                <w:iCs w:val="0"/>
                <w:caps w:val="0"/>
                <w:color w:val="333333"/>
                <w:spacing w:val="0"/>
                <w:sz w:val="21"/>
                <w:szCs w:val="21"/>
              </w:rPr>
            </w:pPr>
          </w:p>
        </w:tc>
        <w:tc>
          <w:tcPr>
            <w:tcW w:w="375"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37F81B06">
            <w:pPr>
              <w:rPr>
                <w:rFonts w:hint="eastAsia" w:ascii="微软雅黑" w:hAnsi="微软雅黑" w:eastAsia="微软雅黑" w:cs="微软雅黑"/>
                <w:i w:val="0"/>
                <w:iCs w:val="0"/>
                <w:caps w:val="0"/>
                <w:color w:val="333333"/>
                <w:spacing w:val="0"/>
                <w:sz w:val="21"/>
                <w:szCs w:val="21"/>
              </w:rPr>
            </w:pPr>
          </w:p>
        </w:tc>
        <w:tc>
          <w:tcPr>
            <w:tcW w:w="6600" w:type="dxa"/>
            <w:vMerge w:val="continue"/>
            <w:tcBorders>
              <w:top w:val="nil"/>
              <w:left w:val="nil"/>
              <w:bottom w:val="single" w:color="000000" w:sz="6" w:space="0"/>
              <w:right w:val="single" w:color="000000" w:sz="6" w:space="0"/>
            </w:tcBorders>
            <w:shd w:val="clear" w:color="auto" w:fill="FFFFFF"/>
            <w:tcMar>
              <w:left w:w="105" w:type="dxa"/>
              <w:right w:w="105" w:type="dxa"/>
            </w:tcMar>
            <w:vAlign w:val="center"/>
          </w:tcPr>
          <w:p w14:paraId="6138E02A">
            <w:pPr>
              <w:rPr>
                <w:rFonts w:hint="eastAsia" w:ascii="微软雅黑" w:hAnsi="微软雅黑" w:eastAsia="微软雅黑" w:cs="微软雅黑"/>
                <w:i w:val="0"/>
                <w:iCs w:val="0"/>
                <w:caps w:val="0"/>
                <w:color w:val="333333"/>
                <w:spacing w:val="0"/>
                <w:sz w:val="21"/>
                <w:szCs w:val="21"/>
              </w:rPr>
            </w:pPr>
          </w:p>
        </w:tc>
      </w:tr>
    </w:tbl>
    <w:p w14:paraId="736E0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 </w:t>
      </w:r>
    </w:p>
    <w:p w14:paraId="27B051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24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②笔试</w:t>
      </w:r>
    </w:p>
    <w:p w14:paraId="268F2C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考试内容：评估学生对计算机学科前沿动态的理解能力、技术趋势的洞察力、跨领域知识整合能力及创新思维水平，主要从以下三个方向进行考查：</w:t>
      </w:r>
    </w:p>
    <w:p w14:paraId="761B9A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1. 人工智能与机器学习前沿</w:t>
      </w:r>
    </w:p>
    <w:p w14:paraId="23FDE6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2. 计算机视觉与多媒体技术前沿</w:t>
      </w:r>
    </w:p>
    <w:p w14:paraId="6DCB3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3. 网络与信息安全前沿</w:t>
      </w:r>
    </w:p>
    <w:p w14:paraId="67DAC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考试形式：闭卷笔试</w:t>
      </w:r>
    </w:p>
    <w:p w14:paraId="63B27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考试时间：90分钟</w:t>
      </w:r>
    </w:p>
    <w:p w14:paraId="49E2D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分值：满分100分</w:t>
      </w:r>
    </w:p>
    <w:p w14:paraId="62B70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            ③英语能力考核</w:t>
      </w:r>
    </w:p>
    <w:p w14:paraId="06BF5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96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采用英文自我介绍+专家口语面试的形式进行，给出百分制成绩。</w:t>
      </w:r>
    </w:p>
    <w:p w14:paraId="2A8CF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④综合面试</w:t>
      </w:r>
    </w:p>
    <w:p w14:paraId="0D7F1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根据教育部及江苏省要求，复试面试现场要录音录像，要有现场记录、成绩等。综合面试成绩为百分制成绩。具体时间、地点等以学院通知为准。</w:t>
      </w:r>
    </w:p>
    <w:p w14:paraId="2A9CB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综合面试内容：包括对申请者学术水平的考查、思想政治素质和品德考核等。1）学术水平考查：考生用PPT准备5分钟左右的自我介绍内容，主要包括求学经历、学术经历、成果获奖及未来的学习计划等，专家组将结合之前的材料审核情况，对考生进行提问。2）思想政治素质和品德考核内容：包括政治态度、思想表现、道德品质、遵纪守法等方面，特别注重考查申请者的科学精神、学术道德、专业伦理、诚实守信等方面的情况。要求考生就指定热点事件表达自己的观点，假设考生是当事人该如何处理等。对于思想品德考核不合格者不予录取。</w:t>
      </w:r>
    </w:p>
    <w:p w14:paraId="6FA95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35" w:right="0" w:firstLine="21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⑤复试综合成绩</w:t>
      </w:r>
    </w:p>
    <w:p w14:paraId="2F34F2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35" w:right="0" w:firstLine="21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申请考核：复试综合成绩=笔试×30%+材料评审成绩×30%+英语成绩×10%+综合面试成绩×30%</w:t>
      </w:r>
    </w:p>
    <w:p w14:paraId="3C74B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35" w:right="0" w:firstLine="21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硕博连读：复试综合成绩=笔试×30%+材料评审成绩×10%+英语成绩×20%+综合面试成绩×40%</w:t>
      </w:r>
    </w:p>
    <w:p w14:paraId="3D0DF8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综合成绩同分情况下，按照综合面试、笔试成绩、材料审核、英语成绩的顺序排序。</w:t>
      </w:r>
    </w:p>
    <w:p w14:paraId="12E53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240"/>
        <w:jc w:val="both"/>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sz w:val="24"/>
          <w:szCs w:val="24"/>
          <w:bdr w:val="none" w:color="auto" w:sz="0" w:space="0"/>
          <w:shd w:val="clear" w:fill="FFFFFF"/>
        </w:rPr>
        <w:t>⑥同等学力加试：</w:t>
      </w:r>
      <w:r>
        <w:rPr>
          <w:rFonts w:hint="default" w:ascii="方正仿宋_gb2312" w:hAnsi="方正仿宋_gb2312" w:eastAsia="方正仿宋_gb2312" w:cs="方正仿宋_gb2312"/>
          <w:i w:val="0"/>
          <w:iCs w:val="0"/>
          <w:caps w:val="0"/>
          <w:color w:val="333333"/>
          <w:spacing w:val="0"/>
          <w:sz w:val="24"/>
          <w:szCs w:val="24"/>
          <w:bdr w:val="none" w:color="auto" w:sz="0" w:space="0"/>
          <w:shd w:val="clear" w:fill="FFFFFF"/>
        </w:rPr>
        <w:t>对于以硕士毕业生同等学力身份报考的人员，在复试阶段须加试两门本专业硕士学位主干课程，考试方式为闭卷笔试，考试时间为2个小时，满分100分。同等学力加试成绩不记入总成绩，但有任意1门不及格（低于60分）者为加试不合格，不予录取。同等学力加试，考查科目由招生导师指定，具体考试时间及地点以学院通知为准。</w:t>
      </w:r>
    </w:p>
    <w:p w14:paraId="13010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24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⑦公布复试成绩</w:t>
      </w:r>
    </w:p>
    <w:p w14:paraId="14577D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由学院公布复试综合成绩及各单项成绩并挂网公示3天。</w:t>
      </w:r>
    </w:p>
    <w:p w14:paraId="57548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5.导师招生指标确定</w:t>
      </w:r>
    </w:p>
    <w:p w14:paraId="4456A6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学院将根据复试前学校实际分配的指标，依据《计算机学院、网络空间安全学院2024年博士研究生招生指标分配方案》确定的原则导向，讨论确定各导师招生名额，并面向学位点所有导师公开公示。</w:t>
      </w:r>
    </w:p>
    <w:p w14:paraId="7E744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6.拟录取名单审核及公示</w:t>
      </w:r>
    </w:p>
    <w:p w14:paraId="1E4549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学院根据导师招生名额、导师招生意向、复试成绩等综合确定提交分专业考生拟录取建议，博士生拟录取名单经学校研究生招生工作领导小组审核通过后，在研究生院网站进行公示，公示期为7日。</w:t>
      </w:r>
    </w:p>
    <w:p w14:paraId="26E09C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72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7. 录取</w:t>
      </w:r>
    </w:p>
    <w:p w14:paraId="275AD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公示期结束后,拟录取考生进行调档、签订定向培养协议书等相关工作，确保录取无误后，向拟录取考生发放录取通知书。</w:t>
      </w:r>
    </w:p>
    <w:p w14:paraId="5ECBB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三、申诉</w:t>
      </w:r>
    </w:p>
    <w:p w14:paraId="65E5F8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为维护博士研究生招生纪律的严肃性，确保录取质量，学院将加强领导和组织工作，做到公开、公平、公正，坚决抵制徇私舞弊等不正之风。研究生院将对复试录取工作进行监督、检查，对在复试录取工作中违反招生规定、弄虚作假的单位和个人，将根据有关规定进行处理。</w:t>
      </w:r>
    </w:p>
    <w:p w14:paraId="03BFD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博士研究生招生复试录取工作接受考生和社会的监督，有异议者可向学院博士生招生纪检监督小组反映，联系电话：025-58731323。</w:t>
      </w:r>
    </w:p>
    <w:p w14:paraId="35830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如发现有违规违纪情况可向学校研招办反映。</w:t>
      </w:r>
    </w:p>
    <w:p w14:paraId="6EAD3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研招办联系电话：025-58731201。</w:t>
      </w:r>
    </w:p>
    <w:p w14:paraId="38619F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四、保障机制</w:t>
      </w:r>
    </w:p>
    <w:p w14:paraId="5E6074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（一）加强领导</w:t>
      </w:r>
    </w:p>
    <w:p w14:paraId="24F7ED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学院博士研究生招生工作领导小组对招生复试选拔工作进行组织领导和统筹协调，博士研究生招生工作纪检监督小组进行全过程监察督导。</w:t>
      </w:r>
    </w:p>
    <w:p w14:paraId="733F67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（二）信息公开</w:t>
      </w:r>
    </w:p>
    <w:p w14:paraId="55226E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学院在本单位网站上公布本学院“博士研究生招生工作细则”及所有参加复试考生（含拟录取考生）的复试综合成绩和各单项成绩等信息。</w:t>
      </w:r>
    </w:p>
    <w:p w14:paraId="7D7AC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（三）有据可查</w:t>
      </w:r>
    </w:p>
    <w:p w14:paraId="6BDC7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全程录音录像，评审内容、复试过程及成绩和结果等均应有可复查的原始记录。</w:t>
      </w:r>
    </w:p>
    <w:p w14:paraId="2757F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default" w:ascii="方正仿宋_gb2312" w:hAnsi="方正仿宋_gb2312" w:eastAsia="方正仿宋_gb2312" w:cs="方正仿宋_gb2312"/>
          <w:b/>
          <w:bCs/>
          <w:i w:val="0"/>
          <w:iCs w:val="0"/>
          <w:caps w:val="0"/>
          <w:color w:val="333333"/>
          <w:spacing w:val="0"/>
          <w:kern w:val="0"/>
          <w:sz w:val="24"/>
          <w:szCs w:val="24"/>
          <w:bdr w:val="none" w:color="auto" w:sz="0" w:space="0"/>
          <w:shd w:val="clear" w:fill="FFFFFF"/>
          <w:lang w:val="en-US" w:eastAsia="zh-CN" w:bidi="ar"/>
        </w:rPr>
        <w:t>五、违规处理</w:t>
      </w:r>
    </w:p>
    <w:p w14:paraId="58C46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420" w:right="0" w:firstLine="480"/>
        <w:jc w:val="left"/>
        <w:rPr>
          <w:rFonts w:hint="eastAsia" w:ascii="微软雅黑" w:hAnsi="微软雅黑" w:eastAsia="微软雅黑" w:cs="微软雅黑"/>
          <w:i w:val="0"/>
          <w:iCs w:val="0"/>
          <w:caps w:val="0"/>
          <w:color w:val="333333"/>
          <w:spacing w:val="0"/>
          <w:sz w:val="21"/>
          <w:szCs w:val="21"/>
        </w:rPr>
      </w:pPr>
      <w:r>
        <w:rPr>
          <w:rFonts w:hint="default" w:ascii="方正仿宋_gb2312" w:hAnsi="方正仿宋_gb2312" w:eastAsia="方正仿宋_gb2312" w:cs="方正仿宋_gb2312"/>
          <w:i w:val="0"/>
          <w:iCs w:val="0"/>
          <w:caps w:val="0"/>
          <w:color w:val="333333"/>
          <w:spacing w:val="0"/>
          <w:kern w:val="0"/>
          <w:sz w:val="24"/>
          <w:szCs w:val="24"/>
          <w:bdr w:val="none" w:color="auto" w:sz="0" w:space="0"/>
          <w:shd w:val="clear" w:fill="FFFFFF"/>
          <w:lang w:val="en-US" w:eastAsia="zh-CN" w:bidi="ar"/>
        </w:rPr>
        <w:t>对违反招生管理规定、考场纪律及报考材料弄虚作假的考生，对招生过程中徇私舞弊、滥用职权的考试工作人员及其他相关人员，根据《国家教育考试违规处理办法》（教育部令第33号）等相关规定严肃处理。</w:t>
      </w:r>
    </w:p>
    <w:p w14:paraId="1C2B2C0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roman regular">
    <w:altName w:val="Segoe Print"/>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4069259D"/>
    <w:rsid w:val="4EB27F29"/>
    <w:rsid w:val="4EE02FF7"/>
    <w:rsid w:val="56687250"/>
    <w:rsid w:val="5B52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253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420B8C6FE5524F268E13C8C63B47C465_13</vt:lpwstr>
  </property>
  <property fmtid="{D5CDD505-2E9C-101B-9397-08002B2CF9AE}" pid="4" name="KSOTemplateDocerSaveRecord">
    <vt:lpwstr>eyJoZGlkIjoiYTFmNmVhOTkxNjMwODU5NTJlYjI4NDc1ZWVjNjRhZWUiLCJ1c2VySWQiOiIxNDE1NTEzMzA2In0=</vt:lpwstr>
  </property>
</Properties>
</file>