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1C6F" w14:textId="77777777" w:rsidR="00A437BA" w:rsidRDefault="00000000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华文学院申请审核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制与硕博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连读博士研究生招生工作细则</w:t>
      </w:r>
    </w:p>
    <w:p w14:paraId="2C82944F" w14:textId="77777777" w:rsidR="00A437BA" w:rsidRDefault="00A437BA">
      <w:pPr>
        <w:jc w:val="center"/>
        <w:rPr>
          <w:rFonts w:ascii="黑体" w:eastAsia="黑体" w:hAnsi="黑体" w:cs="黑体" w:hint="eastAsia"/>
          <w:sz w:val="24"/>
        </w:rPr>
      </w:pPr>
    </w:p>
    <w:p w14:paraId="28806734" w14:textId="77777777" w:rsidR="00A437BA" w:rsidRDefault="0000000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根据暨南大学博士研究生招生简章相关规定，结合学院学科特点，为做好我院申请审核</w:t>
      </w:r>
      <w:proofErr w:type="gramStart"/>
      <w:r>
        <w:rPr>
          <w:rFonts w:ascii="仿宋" w:eastAsia="仿宋" w:hAnsi="仿宋" w:cs="仿宋" w:hint="eastAsia"/>
          <w:sz w:val="24"/>
        </w:rPr>
        <w:t>制及硕博</w:t>
      </w:r>
      <w:proofErr w:type="gramEnd"/>
      <w:r>
        <w:rPr>
          <w:rFonts w:ascii="仿宋" w:eastAsia="仿宋" w:hAnsi="仿宋" w:cs="仿宋" w:hint="eastAsia"/>
          <w:sz w:val="24"/>
        </w:rPr>
        <w:t>连读博士研究生招生工作，特修订如下工作细则：</w:t>
      </w:r>
    </w:p>
    <w:p w14:paraId="6103FAD3" w14:textId="77777777" w:rsidR="00A437BA" w:rsidRDefault="00A437BA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0BA4EAF" w14:textId="77777777" w:rsidR="00A437BA" w:rsidRDefault="00000000">
      <w:pPr>
        <w:numPr>
          <w:ilvl w:val="0"/>
          <w:numId w:val="1"/>
        </w:num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培养目标</w:t>
      </w:r>
    </w:p>
    <w:p w14:paraId="36698E34" w14:textId="77777777" w:rsidR="00A437BA" w:rsidRDefault="0000000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培养德、智、体全面发展，在本门学科上掌握坚实的基础理论和系统深入的专门知识，具有独立从事科学研究工作的能力，在科学和专门技术上做出创造性成果的高级专门人才。</w:t>
      </w:r>
    </w:p>
    <w:p w14:paraId="0A8139D6" w14:textId="77777777" w:rsidR="00A437BA" w:rsidRDefault="00A437BA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1A946B29" w14:textId="77777777" w:rsidR="00A437BA" w:rsidRDefault="00000000">
      <w:pPr>
        <w:numPr>
          <w:ilvl w:val="0"/>
          <w:numId w:val="1"/>
        </w:num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领导机构</w:t>
      </w:r>
    </w:p>
    <w:p w14:paraId="4ADFC202" w14:textId="77777777" w:rsidR="00A437BA" w:rsidRDefault="0000000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学院成立研究生招生领导小组，负责全院研究生招生工作的统筹与安排；各专业</w:t>
      </w:r>
      <w:proofErr w:type="gramStart"/>
      <w:r>
        <w:rPr>
          <w:rFonts w:ascii="仿宋" w:eastAsia="仿宋" w:hAnsi="仿宋" w:cs="仿宋" w:hint="eastAsia"/>
          <w:sz w:val="24"/>
        </w:rPr>
        <w:t>点成立</w:t>
      </w:r>
      <w:proofErr w:type="gramEnd"/>
      <w:r>
        <w:rPr>
          <w:rFonts w:ascii="仿宋" w:eastAsia="仿宋" w:hAnsi="仿宋" w:cs="仿宋" w:hint="eastAsia"/>
          <w:sz w:val="24"/>
        </w:rPr>
        <w:t>审核面试工作小组，负责对申请人员的材料审核和面试工作。</w:t>
      </w:r>
    </w:p>
    <w:p w14:paraId="0522B6D3" w14:textId="77777777" w:rsidR="00A437BA" w:rsidRDefault="00A437BA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1FCC65F1" w14:textId="77777777" w:rsidR="00A437BA" w:rsidRDefault="00000000">
      <w:pPr>
        <w:numPr>
          <w:ilvl w:val="0"/>
          <w:numId w:val="1"/>
        </w:num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报考及审核条件</w:t>
      </w:r>
    </w:p>
    <w:p w14:paraId="7F6F853F" w14:textId="77777777" w:rsidR="00A437BA" w:rsidRDefault="00000000">
      <w:pPr>
        <w:numPr>
          <w:ilvl w:val="0"/>
          <w:numId w:val="2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基本条件：符合暨南大学招生简章相关规定要求，并达到华文学院规定的学术成果条件。</w:t>
      </w:r>
    </w:p>
    <w:p w14:paraId="7457B2A7" w14:textId="77777777" w:rsidR="00A437BA" w:rsidRDefault="00000000">
      <w:pPr>
        <w:numPr>
          <w:ilvl w:val="0"/>
          <w:numId w:val="2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申请审核制审核条件：</w:t>
      </w:r>
    </w:p>
    <w:p w14:paraId="636D98BE" w14:textId="77777777" w:rsidR="00A437BA" w:rsidRDefault="00000000">
      <w:pPr>
        <w:numPr>
          <w:ilvl w:val="0"/>
          <w:numId w:val="3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招生对象：面向符合报考条件的应、往届学术型硕士，不接受同等学力考生报名。录取类别为非定向全日制。</w:t>
      </w:r>
    </w:p>
    <w:p w14:paraId="7E899666" w14:textId="77777777" w:rsidR="00A437BA" w:rsidRDefault="00000000">
      <w:pPr>
        <w:numPr>
          <w:ilvl w:val="0"/>
          <w:numId w:val="3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审核要求与材料：</w:t>
      </w:r>
    </w:p>
    <w:p w14:paraId="7F5BBE0A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（1）一份学习与学术研究的简要经历（自本科起）；</w:t>
      </w:r>
    </w:p>
    <w:p w14:paraId="7D96708D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（2）一份本科与硕士阶段的学习成绩单（须就读单位盖章）；</w:t>
      </w:r>
    </w:p>
    <w:p w14:paraId="0F68D939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（3）一本硕士学位论文全文（往届生）或论文摘要（应届生）；</w:t>
      </w:r>
    </w:p>
    <w:p w14:paraId="446206E5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（4）在暨南大学规定的B类学术期刊上，以第一作者公开发表与报考专业研究方向相关的B1类学术论文一篇或者B2类两篇（必要条件）；</w:t>
      </w:r>
    </w:p>
    <w:p w14:paraId="7FAF58F4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（5）一份不少于3000字的拟攻读博士学位的研究计划书（模板可自暨大</w:t>
      </w:r>
      <w:proofErr w:type="gramStart"/>
      <w:r>
        <w:rPr>
          <w:rFonts w:ascii="仿宋" w:eastAsia="仿宋" w:hAnsi="仿宋" w:cs="仿宋" w:hint="eastAsia"/>
          <w:sz w:val="24"/>
        </w:rPr>
        <w:t>研招网</w:t>
      </w:r>
      <w:proofErr w:type="gramEnd"/>
      <w:r>
        <w:rPr>
          <w:rFonts w:ascii="仿宋" w:eastAsia="仿宋" w:hAnsi="仿宋" w:cs="仿宋" w:hint="eastAsia"/>
          <w:sz w:val="24"/>
        </w:rPr>
        <w:t>下载中心下载）；</w:t>
      </w:r>
    </w:p>
    <w:p w14:paraId="04F479B6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（6）一份最高学位证书、相关获奖证书及外语水平证明材料复印件；</w:t>
      </w:r>
    </w:p>
    <w:p w14:paraId="31EDF257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（7）两封教授（或相当专业技术职称的专家）亲笔署名的书面推荐信；</w:t>
      </w:r>
    </w:p>
    <w:p w14:paraId="1076C86D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（8）博士生入学考试报名信息简表；</w:t>
      </w:r>
    </w:p>
    <w:p w14:paraId="37F3C8C0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（9）政审表（模板可自暨大</w:t>
      </w:r>
      <w:proofErr w:type="gramStart"/>
      <w:r>
        <w:rPr>
          <w:rFonts w:ascii="仿宋" w:eastAsia="仿宋" w:hAnsi="仿宋" w:cs="仿宋" w:hint="eastAsia"/>
          <w:sz w:val="24"/>
        </w:rPr>
        <w:t>研招网</w:t>
      </w:r>
      <w:proofErr w:type="gramEnd"/>
      <w:r>
        <w:rPr>
          <w:rFonts w:ascii="仿宋" w:eastAsia="仿宋" w:hAnsi="仿宋" w:cs="仿宋" w:hint="eastAsia"/>
          <w:sz w:val="24"/>
        </w:rPr>
        <w:t>下载中心下载，需政审合格）。</w:t>
      </w:r>
    </w:p>
    <w:p w14:paraId="1E694EB6" w14:textId="77777777" w:rsidR="00A437BA" w:rsidRDefault="00000000">
      <w:pPr>
        <w:numPr>
          <w:ilvl w:val="0"/>
          <w:numId w:val="2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硕博连读审核条件：</w:t>
      </w:r>
    </w:p>
    <w:p w14:paraId="48FD513E" w14:textId="77777777" w:rsidR="00A437BA" w:rsidRDefault="00000000">
      <w:pPr>
        <w:numPr>
          <w:ilvl w:val="0"/>
          <w:numId w:val="4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面向符合报考条件的暨南大学非定向全日制学术型在校硕士生，一年级在校</w:t>
      </w:r>
      <w:r>
        <w:rPr>
          <w:rFonts w:ascii="仿宋" w:eastAsia="仿宋" w:hAnsi="仿宋" w:cs="仿宋" w:hint="eastAsia"/>
          <w:sz w:val="24"/>
        </w:rPr>
        <w:lastRenderedPageBreak/>
        <w:t>硕士生、延期毕业者不可申请，录取类别为非定向全日制。</w:t>
      </w:r>
    </w:p>
    <w:p w14:paraId="3922890C" w14:textId="77777777" w:rsidR="00A437BA" w:rsidRDefault="00000000">
      <w:pPr>
        <w:numPr>
          <w:ilvl w:val="0"/>
          <w:numId w:val="4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审核要求与材料：</w:t>
      </w:r>
    </w:p>
    <w:p w14:paraId="7CF05CCF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（1）一份硕士学位论文开题报告；</w:t>
      </w:r>
    </w:p>
    <w:p w14:paraId="2C256E08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（2）在暨南大学规定的B类学术期刊上，以第一作者公开发表与报考专业研究方向相关的B1类学术论文一篇或者B2类两篇（必要条件）；</w:t>
      </w:r>
    </w:p>
    <w:p w14:paraId="32FAF40F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（3）一份不少于3000字的拟攻读博士学位的研究计划书（模板可自暨大</w:t>
      </w:r>
      <w:proofErr w:type="gramStart"/>
      <w:r>
        <w:rPr>
          <w:rFonts w:ascii="仿宋" w:eastAsia="仿宋" w:hAnsi="仿宋" w:cs="仿宋" w:hint="eastAsia"/>
          <w:sz w:val="24"/>
        </w:rPr>
        <w:t>研招网</w:t>
      </w:r>
      <w:proofErr w:type="gramEnd"/>
      <w:r>
        <w:rPr>
          <w:rFonts w:ascii="仿宋" w:eastAsia="仿宋" w:hAnsi="仿宋" w:cs="仿宋" w:hint="eastAsia"/>
          <w:sz w:val="24"/>
        </w:rPr>
        <w:t>下载中心下载）；</w:t>
      </w:r>
    </w:p>
    <w:p w14:paraId="6071C468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（4）一份最高学位证书、相关获奖证书及外语水平证明材料复印件；</w:t>
      </w:r>
    </w:p>
    <w:p w14:paraId="0788A546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（5）两封教授（或相当专业技术职称的专家）亲笔署名的书面推荐信；</w:t>
      </w:r>
    </w:p>
    <w:p w14:paraId="20391997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（6）博士生入学考试报名信息简表；</w:t>
      </w:r>
    </w:p>
    <w:p w14:paraId="4997814F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（7）政审表（模板可自暨大</w:t>
      </w:r>
      <w:proofErr w:type="gramStart"/>
      <w:r>
        <w:rPr>
          <w:rFonts w:ascii="仿宋" w:eastAsia="仿宋" w:hAnsi="仿宋" w:cs="仿宋" w:hint="eastAsia"/>
          <w:sz w:val="24"/>
        </w:rPr>
        <w:t>研招网</w:t>
      </w:r>
      <w:proofErr w:type="gramEnd"/>
      <w:r>
        <w:rPr>
          <w:rFonts w:ascii="仿宋" w:eastAsia="仿宋" w:hAnsi="仿宋" w:cs="仿宋" w:hint="eastAsia"/>
          <w:sz w:val="24"/>
        </w:rPr>
        <w:t>下载中心下载，需政审合格）。</w:t>
      </w:r>
    </w:p>
    <w:p w14:paraId="54488A2A" w14:textId="77777777" w:rsidR="00A437BA" w:rsidRDefault="00A437BA">
      <w:pPr>
        <w:spacing w:line="400" w:lineRule="exact"/>
        <w:rPr>
          <w:rFonts w:ascii="仿宋" w:eastAsia="仿宋" w:hAnsi="仿宋" w:cs="仿宋" w:hint="eastAsia"/>
          <w:sz w:val="24"/>
        </w:rPr>
      </w:pPr>
    </w:p>
    <w:p w14:paraId="7DE95E9F" w14:textId="77777777" w:rsidR="00A437BA" w:rsidRDefault="00000000">
      <w:pPr>
        <w:numPr>
          <w:ilvl w:val="0"/>
          <w:numId w:val="1"/>
        </w:num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材料审核</w:t>
      </w:r>
    </w:p>
    <w:p w14:paraId="7CDFF324" w14:textId="77777777" w:rsidR="00A437BA" w:rsidRDefault="0000000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学院组织本专业不少于7位专家对申请材料进行审核，分别给出外语水平、专业素质、研究潜力三个方面的成绩（总分300分，每部分100分）。实行每位导师独立评分，分别去掉单项最高分与最低分，计算各项平均分，再计算总分。再以专业为单位，按总分由高到低排序，最终确定复试名单。</w:t>
      </w:r>
    </w:p>
    <w:p w14:paraId="367FB62C" w14:textId="77777777" w:rsidR="00A437BA" w:rsidRDefault="0000000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审核成绩及格要求：每个方面审核成绩不得低于80分，审核总成绩不得低于240分。否则，不予通过。</w:t>
      </w:r>
    </w:p>
    <w:p w14:paraId="5C7C86D5" w14:textId="77777777" w:rsidR="00A437BA" w:rsidRDefault="0000000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实行差额复试，复试范围比例原则上不低于200%，不高于300%，超出复试比例范围须报研究生院审批。</w:t>
      </w:r>
    </w:p>
    <w:p w14:paraId="304D72D8" w14:textId="77777777" w:rsidR="00A437BA" w:rsidRDefault="00A437BA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263B9DAA" w14:textId="77777777" w:rsidR="00A437BA" w:rsidRDefault="00000000">
      <w:pPr>
        <w:numPr>
          <w:ilvl w:val="0"/>
          <w:numId w:val="1"/>
        </w:num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复试</w:t>
      </w:r>
    </w:p>
    <w:p w14:paraId="581C4A63" w14:textId="77777777" w:rsidR="00A437BA" w:rsidRDefault="00000000">
      <w:pPr>
        <w:numPr>
          <w:ilvl w:val="0"/>
          <w:numId w:val="5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复试以面试为主，可视需要实行笔试。跨学科人员需增加专业知识笔试，成绩不计入复试成绩，作为专家评分的参考。</w:t>
      </w:r>
    </w:p>
    <w:p w14:paraId="505EAAAE" w14:textId="77777777" w:rsidR="00A437BA" w:rsidRDefault="00000000">
      <w:pPr>
        <w:numPr>
          <w:ilvl w:val="0"/>
          <w:numId w:val="5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每位考生复试时间不少于30分钟，其中每人不少于15分钟学术情况汇报（PPT形式）。</w:t>
      </w:r>
    </w:p>
    <w:p w14:paraId="5AC6B292" w14:textId="77777777" w:rsidR="00A437BA" w:rsidRDefault="00000000">
      <w:pPr>
        <w:numPr>
          <w:ilvl w:val="0"/>
          <w:numId w:val="5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不少于7位专业导师对考生进行面试，独立评分，分别去掉单项最高分与最低分，计算各项平均分，再计算总分</w:t>
      </w:r>
      <w:r>
        <w:rPr>
          <w:rFonts w:ascii="仿宋" w:eastAsia="宋体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以专业为单位，申请审核</w:t>
      </w:r>
      <w:proofErr w:type="gramStart"/>
      <w:r>
        <w:rPr>
          <w:rFonts w:ascii="仿宋" w:eastAsia="仿宋" w:hAnsi="仿宋" w:cs="仿宋" w:hint="eastAsia"/>
          <w:sz w:val="24"/>
        </w:rPr>
        <w:t>制与硕博</w:t>
      </w:r>
      <w:proofErr w:type="gramEnd"/>
      <w:r>
        <w:rPr>
          <w:rFonts w:ascii="仿宋" w:eastAsia="仿宋" w:hAnsi="仿宋" w:cs="仿宋" w:hint="eastAsia"/>
          <w:sz w:val="24"/>
        </w:rPr>
        <w:t>连读考生按材料审核成绩与复试成绩的加权成绩由高分到低分排序，材料审核与复试面试的成绩权重分别为50%。</w:t>
      </w:r>
    </w:p>
    <w:p w14:paraId="65B107F1" w14:textId="77777777" w:rsidR="00A437BA" w:rsidRDefault="00000000">
      <w:pPr>
        <w:numPr>
          <w:ilvl w:val="0"/>
          <w:numId w:val="5"/>
        </w:num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拟录取名单公示无异议后</w:t>
      </w:r>
      <w:proofErr w:type="gramStart"/>
      <w:r>
        <w:rPr>
          <w:rFonts w:ascii="仿宋" w:eastAsia="仿宋" w:hAnsi="仿宋" w:cs="仿宋" w:hint="eastAsia"/>
          <w:sz w:val="24"/>
        </w:rPr>
        <w:t>报大学</w:t>
      </w:r>
      <w:proofErr w:type="gramEnd"/>
      <w:r>
        <w:rPr>
          <w:rFonts w:ascii="仿宋" w:eastAsia="仿宋" w:hAnsi="仿宋" w:cs="仿宋" w:hint="eastAsia"/>
          <w:sz w:val="24"/>
        </w:rPr>
        <w:t>审核。</w:t>
      </w:r>
    </w:p>
    <w:p w14:paraId="538A8862" w14:textId="77777777" w:rsidR="00A437BA" w:rsidRDefault="00A437BA">
      <w:pPr>
        <w:spacing w:line="400" w:lineRule="exact"/>
        <w:rPr>
          <w:rFonts w:ascii="仿宋" w:eastAsia="仿宋" w:hAnsi="仿宋" w:cs="仿宋" w:hint="eastAsia"/>
          <w:sz w:val="24"/>
        </w:rPr>
      </w:pPr>
    </w:p>
    <w:p w14:paraId="049EFDA8" w14:textId="77777777" w:rsidR="00A437BA" w:rsidRDefault="00000000">
      <w:pPr>
        <w:numPr>
          <w:ilvl w:val="0"/>
          <w:numId w:val="1"/>
        </w:num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信息查询及联系方式</w:t>
      </w:r>
    </w:p>
    <w:p w14:paraId="6275D8A4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学校研究生招生信息网：</w:t>
      </w:r>
      <w:hyperlink r:id="rId8" w:history="1">
        <w:r>
          <w:rPr>
            <w:rStyle w:val="a4"/>
            <w:rFonts w:ascii="仿宋" w:eastAsia="仿宋" w:hAnsi="仿宋" w:cs="仿宋" w:hint="eastAsia"/>
            <w:color w:val="auto"/>
            <w:sz w:val="24"/>
          </w:rPr>
          <w:t>https://yz.jnu.edu.cn/</w:t>
        </w:r>
      </w:hyperlink>
    </w:p>
    <w:p w14:paraId="5E04F7C6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华文学院招生信息网址：</w:t>
      </w:r>
      <w:hyperlink r:id="rId9" w:history="1">
        <w:r>
          <w:rPr>
            <w:rStyle w:val="a4"/>
            <w:rFonts w:ascii="仿宋" w:eastAsia="仿宋" w:hAnsi="仿宋" w:cs="仿宋" w:hint="eastAsia"/>
            <w:color w:val="auto"/>
            <w:sz w:val="24"/>
          </w:rPr>
          <w:t>https://hwy.jnu.edu.cn/13666/list.htm</w:t>
        </w:r>
      </w:hyperlink>
    </w:p>
    <w:p w14:paraId="7FA24BDB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华文学院咨询电话及联系人：020-87206352，叶老师</w:t>
      </w:r>
    </w:p>
    <w:p w14:paraId="1045041A" w14:textId="77777777" w:rsidR="00A437BA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申请材料邮寄地址：广东省广州市广园东路377号暨南大学华文学院行政综合楼1楼110室（招生办）</w:t>
      </w:r>
    </w:p>
    <w:p w14:paraId="42BB1085" w14:textId="77777777" w:rsidR="00A437BA" w:rsidRDefault="00A437BA">
      <w:pPr>
        <w:spacing w:line="400" w:lineRule="exact"/>
        <w:jc w:val="right"/>
        <w:rPr>
          <w:rFonts w:ascii="仿宋" w:eastAsia="仿宋" w:hAnsi="仿宋" w:cs="仿宋" w:hint="eastAsia"/>
          <w:sz w:val="24"/>
        </w:rPr>
      </w:pPr>
    </w:p>
    <w:p w14:paraId="1D758533" w14:textId="77777777" w:rsidR="00A437BA" w:rsidRDefault="00A437BA">
      <w:pPr>
        <w:spacing w:line="400" w:lineRule="exact"/>
        <w:jc w:val="right"/>
        <w:rPr>
          <w:rFonts w:ascii="仿宋" w:eastAsia="仿宋" w:hAnsi="仿宋" w:cs="仿宋" w:hint="eastAsia"/>
          <w:sz w:val="24"/>
        </w:rPr>
      </w:pPr>
    </w:p>
    <w:p w14:paraId="4083C8EC" w14:textId="77777777" w:rsidR="00A437BA" w:rsidRDefault="00000000">
      <w:pPr>
        <w:spacing w:line="400" w:lineRule="exact"/>
        <w:jc w:val="righ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暨南大学华文学院</w:t>
      </w:r>
    </w:p>
    <w:p w14:paraId="1ABFE5F2" w14:textId="77777777" w:rsidR="00A437BA" w:rsidRDefault="00000000">
      <w:pPr>
        <w:spacing w:line="400" w:lineRule="exact"/>
        <w:jc w:val="righ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2024年11月15日</w:t>
      </w:r>
    </w:p>
    <w:p w14:paraId="4EE53115" w14:textId="77777777" w:rsidR="00A437BA" w:rsidRDefault="00A437BA">
      <w:pPr>
        <w:spacing w:line="400" w:lineRule="exact"/>
        <w:jc w:val="right"/>
        <w:rPr>
          <w:rFonts w:ascii="仿宋" w:eastAsia="仿宋" w:hAnsi="仿宋" w:cs="仿宋" w:hint="eastAsia"/>
          <w:sz w:val="24"/>
        </w:rPr>
      </w:pPr>
    </w:p>
    <w:p w14:paraId="4998C6FF" w14:textId="77777777" w:rsidR="00A437BA" w:rsidRDefault="00A437BA">
      <w:pPr>
        <w:spacing w:line="400" w:lineRule="exact"/>
        <w:rPr>
          <w:rFonts w:ascii="仿宋" w:eastAsia="仿宋" w:hAnsi="仿宋" w:cs="仿宋" w:hint="eastAsia"/>
          <w:sz w:val="24"/>
        </w:rPr>
      </w:pPr>
    </w:p>
    <w:p w14:paraId="051712B6" w14:textId="77777777" w:rsidR="00A437BA" w:rsidRDefault="00A437BA"/>
    <w:sectPr w:rsidR="00A437B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E68C" w14:textId="77777777" w:rsidR="00B24C30" w:rsidRDefault="00B24C30">
      <w:r>
        <w:separator/>
      </w:r>
    </w:p>
  </w:endnote>
  <w:endnote w:type="continuationSeparator" w:id="0">
    <w:p w14:paraId="4A182AEE" w14:textId="77777777" w:rsidR="00B24C30" w:rsidRDefault="00B2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86DB" w14:textId="77777777" w:rsidR="00A437BA" w:rsidRDefault="00A437BA">
    <w:pPr>
      <w:pStyle w:val="a3"/>
    </w:pPr>
  </w:p>
  <w:p w14:paraId="723172CC" w14:textId="77777777" w:rsidR="00A437B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EBF46" wp14:editId="5A9CD0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3F3D0" w14:textId="77777777" w:rsidR="00A437B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BF4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03F3D0" w14:textId="77777777" w:rsidR="00A437B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88FB6" w14:textId="77777777" w:rsidR="00B24C30" w:rsidRDefault="00B24C30">
      <w:r>
        <w:separator/>
      </w:r>
    </w:p>
  </w:footnote>
  <w:footnote w:type="continuationSeparator" w:id="0">
    <w:p w14:paraId="01AD6AAE" w14:textId="77777777" w:rsidR="00B24C30" w:rsidRDefault="00B2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BA3DF"/>
    <w:multiLevelType w:val="singleLevel"/>
    <w:tmpl w:val="5A0BA3DF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0BA7FF"/>
    <w:multiLevelType w:val="singleLevel"/>
    <w:tmpl w:val="5A0BA7FF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0BA879"/>
    <w:multiLevelType w:val="singleLevel"/>
    <w:tmpl w:val="5A0BA87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A0BAD6A"/>
    <w:multiLevelType w:val="singleLevel"/>
    <w:tmpl w:val="5A0BAD6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0BB3F6"/>
    <w:multiLevelType w:val="singleLevel"/>
    <w:tmpl w:val="5A0BB3F6"/>
    <w:lvl w:ilvl="0">
      <w:start w:val="1"/>
      <w:numFmt w:val="decimal"/>
      <w:suff w:val="nothing"/>
      <w:lvlText w:val="%1、"/>
      <w:lvlJc w:val="left"/>
    </w:lvl>
  </w:abstractNum>
  <w:num w:numId="1" w16cid:durableId="1826433940">
    <w:abstractNumId w:val="0"/>
  </w:num>
  <w:num w:numId="2" w16cid:durableId="346979470">
    <w:abstractNumId w:val="1"/>
  </w:num>
  <w:num w:numId="3" w16cid:durableId="1736855789">
    <w:abstractNumId w:val="2"/>
  </w:num>
  <w:num w:numId="4" w16cid:durableId="74786962">
    <w:abstractNumId w:val="3"/>
  </w:num>
  <w:num w:numId="5" w16cid:durableId="2111126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iMjI5NzIxMmExYWUzNGEyY2FjYTU2YTc2NTkzOTMifQ=="/>
  </w:docVars>
  <w:rsids>
    <w:rsidRoot w:val="5F363687"/>
    <w:rsid w:val="00605119"/>
    <w:rsid w:val="00A437BA"/>
    <w:rsid w:val="00B24C30"/>
    <w:rsid w:val="00DF0A29"/>
    <w:rsid w:val="03A167D4"/>
    <w:rsid w:val="08434C97"/>
    <w:rsid w:val="0988278D"/>
    <w:rsid w:val="0D630D54"/>
    <w:rsid w:val="126C57AE"/>
    <w:rsid w:val="127B61EA"/>
    <w:rsid w:val="1457449D"/>
    <w:rsid w:val="15487A6F"/>
    <w:rsid w:val="15913CE4"/>
    <w:rsid w:val="1A4920B8"/>
    <w:rsid w:val="1C0357B1"/>
    <w:rsid w:val="1EF578B4"/>
    <w:rsid w:val="202306E5"/>
    <w:rsid w:val="2152133A"/>
    <w:rsid w:val="2A095909"/>
    <w:rsid w:val="2EAE6CA3"/>
    <w:rsid w:val="3EF205FC"/>
    <w:rsid w:val="53C069E4"/>
    <w:rsid w:val="59D41254"/>
    <w:rsid w:val="5A513A06"/>
    <w:rsid w:val="5C2D79FF"/>
    <w:rsid w:val="5DBA73FF"/>
    <w:rsid w:val="5F363687"/>
    <w:rsid w:val="604C3675"/>
    <w:rsid w:val="6A896E48"/>
    <w:rsid w:val="6D406FE2"/>
    <w:rsid w:val="6D535020"/>
    <w:rsid w:val="7A80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1BDBA"/>
  <w15:docId w15:val="{D8BF4FC1-97CC-420C-9ABA-0C3E8B2C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jn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wy.jnu.edu.cn/13666/lis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63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贺顿Rachel</dc:creator>
  <cp:lastModifiedBy>Yangxin Ye</cp:lastModifiedBy>
  <cp:revision>2</cp:revision>
  <cp:lastPrinted>2023-11-10T06:42:00Z</cp:lastPrinted>
  <dcterms:created xsi:type="dcterms:W3CDTF">2018-06-29T07:38:00Z</dcterms:created>
  <dcterms:modified xsi:type="dcterms:W3CDTF">2024-11-27T11:49:00Z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8AEC13154B1747F790BEFB2292F07D6D_13</vt:lpwstr>
  </property>
</Properties>
</file>