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C29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微软雅黑" w:hAnsi="微软雅黑" w:eastAsia="微软雅黑" w:cs="微软雅黑"/>
          <w:b w:val="0"/>
          <w:bCs w:val="0"/>
          <w:i w:val="0"/>
          <w:iCs w:val="0"/>
          <w:caps w:val="0"/>
          <w:color w:val="222222"/>
          <w:spacing w:val="0"/>
        </w:rPr>
      </w:pPr>
      <w:r>
        <w:rPr>
          <w:rFonts w:hint="eastAsia" w:ascii="微软雅黑" w:hAnsi="微软雅黑" w:eastAsia="微软雅黑" w:cs="微软雅黑"/>
          <w:b w:val="0"/>
          <w:bCs w:val="0"/>
          <w:i w:val="0"/>
          <w:iCs w:val="0"/>
          <w:caps w:val="0"/>
          <w:color w:val="222222"/>
          <w:spacing w:val="0"/>
          <w:bdr w:val="none" w:color="auto" w:sz="0" w:space="0"/>
          <w:shd w:val="clear" w:fill="FFFFFF"/>
          <w:vertAlign w:val="baseline"/>
        </w:rPr>
        <w:t>人权研究院（人权学院）2025年博士研究生招生工作实施细则（第二批）</w:t>
      </w:r>
    </w:p>
    <w:p w14:paraId="279ADA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left"/>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vertAlign w:val="baseline"/>
        </w:rPr>
        <w:t>根据学校《西南政法大学2025年博士研究生招生章程》（以下简称“学校招生章程”），结合人权研究院（人权学院）具体情况，特制定本年度博士研究生招生工作实施细则。</w:t>
      </w:r>
    </w:p>
    <w:p w14:paraId="132332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一、培养目标和选拔原则</w:t>
      </w:r>
    </w:p>
    <w:p w14:paraId="3322C8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2966CF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二、工作职责</w:t>
      </w:r>
    </w:p>
    <w:p w14:paraId="2C7132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48C477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三、招生目录</w:t>
      </w:r>
    </w:p>
    <w:p w14:paraId="5CC9C6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学院2025年第二批次拟招收“申请-考核”制全日制博士研究生3名，招生专业（方向）为人权法学。指导教师及招生计划请查看学院2025年博士研究生招生专业目录（附件）。</w:t>
      </w:r>
    </w:p>
    <w:p w14:paraId="581053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各专业招生人数仅供参考，实际招生人数将根据学校2025年下达的招生计划及各专业生源情况进行机动调整。</w:t>
      </w:r>
    </w:p>
    <w:p w14:paraId="4A9AA8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四、申请条件和要求</w:t>
      </w:r>
    </w:p>
    <w:p w14:paraId="3ABFAF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申请人应同时符合下列条件：</w:t>
      </w:r>
    </w:p>
    <w:p w14:paraId="1D7EA4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（一）学校招生章程“三、报考条件”的要求。</w:t>
      </w:r>
    </w:p>
    <w:p w14:paraId="29F142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（二）定向就业考生及同等学力考生还须符合下列条件之一：</w:t>
      </w:r>
    </w:p>
    <w:p w14:paraId="582BA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1.校定 C 类以上与所报考学科相关的智库成果1篇（第一作者，原件）；</w:t>
      </w:r>
    </w:p>
    <w:p w14:paraId="5EA90D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2.在CSSCI来源期刊、来源集刊或校定C类以上刊物上发表与所报考学科相关的学术论文1篇(第一作者，刊物原件)；</w:t>
      </w:r>
    </w:p>
    <w:p w14:paraId="4CD3A1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3.校定C类以上与所报考学科相关的专著1本（独著）；</w:t>
      </w:r>
    </w:p>
    <w:p w14:paraId="5DE689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上述成果须为近5年成果，成果取得时间在 2020年5月23日至 2025年 5 月22日期间内。</w:t>
      </w:r>
    </w:p>
    <w:p w14:paraId="6572FE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上述成果由学校根据相关文件进行认定。</w:t>
      </w:r>
    </w:p>
    <w:p w14:paraId="5E4A92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（三）外语水平条件</w:t>
      </w:r>
    </w:p>
    <w:p w14:paraId="3FF07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1.符合下列情形之一，可申请外语免试（考生须按网上报名系统要求申请外语免试并提交相应材料。如未申请或申请未通过，则需参加外语水平考试）：</w:t>
      </w:r>
    </w:p>
    <w:p w14:paraId="550E80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（1）英语证明：</w:t>
      </w:r>
    </w:p>
    <w:p w14:paraId="38D04D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A.雅思 6.5 以上；</w:t>
      </w:r>
    </w:p>
    <w:p w14:paraId="6F23CA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B.托福 90 分以上；</w:t>
      </w:r>
    </w:p>
    <w:p w14:paraId="7FE782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C.国家英语专业四级以上考试合格证书；</w:t>
      </w:r>
    </w:p>
    <w:p w14:paraId="17CC5D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D.在英语为母语（国语）的国家取得硕士及以上学位；</w:t>
      </w:r>
    </w:p>
    <w:p w14:paraId="2501FF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（2）其他语种（只包括学校规定的俄语、法语、德语、日语）参照上述标准执行。</w:t>
      </w:r>
    </w:p>
    <w:p w14:paraId="1EE11F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A.学生须提供国家级语言考试（中国举办或该语言国举办）的通过证书或合格成绩单。中国举办的语言考试需达到国家六级水平。</w:t>
      </w:r>
    </w:p>
    <w:p w14:paraId="6B5187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B.在该小语种为母语（国语）的国家取得硕士及以上学位；</w:t>
      </w:r>
    </w:p>
    <w:p w14:paraId="6FCE49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2.不能提供以上有效成绩证明的考生，均须参加学院组织的博士研究生外语水平考试（成绩合格，该考试成绩仅当次有效）。</w:t>
      </w:r>
    </w:p>
    <w:p w14:paraId="087469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五、考核程序</w:t>
      </w:r>
    </w:p>
    <w:p w14:paraId="00867F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（一）网上报名</w:t>
      </w:r>
    </w:p>
    <w:p w14:paraId="7E9C58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申请人应按照《西南政法大学2025年博士研究生招生章程》《西南政法大学2025年博士研究生网上报名须知-第二批》要求在5月13日-5月23日期间完成网上报名、缴费，并在网报系统中上传以下报名材料电子扫描件，以完成报名：</w:t>
      </w:r>
    </w:p>
    <w:p w14:paraId="687A7A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 学校招生章程“四、申请材料”中需要提交的材料；</w:t>
      </w:r>
    </w:p>
    <w:p w14:paraId="6FABEC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2.外语水平证明；</w:t>
      </w:r>
    </w:p>
    <w:p w14:paraId="655335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3.《西南政法大学博士研究生报考导师填报表》（按2025年博士研究生网上报名须知要求填写）。</w:t>
      </w:r>
    </w:p>
    <w:p w14:paraId="69EB70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学院组织工作组对考生申请资格进行审查，审查通过的考生方可进入初审环节。</w:t>
      </w:r>
    </w:p>
    <w:p w14:paraId="1FD384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4.考生在第二批博士招生中只能报考一个专业（研究方向），只能选择一种招生方式，只能确认一条有效报名信息。</w:t>
      </w:r>
    </w:p>
    <w:p w14:paraId="50A0C5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（二）初审</w:t>
      </w:r>
    </w:p>
    <w:p w14:paraId="753A19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学科组织导师对考生提交的材料进行审核，按专业（研究方向）招生计划的3-5倍确定进入复试的人选。</w:t>
      </w:r>
    </w:p>
    <w:p w14:paraId="316029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复试名单预计于 2025年5月下旬公布，请关注后续通知。</w:t>
      </w:r>
    </w:p>
    <w:p w14:paraId="65AEA0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（三）复试</w:t>
      </w:r>
    </w:p>
    <w:p w14:paraId="23CFA0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复试包括专业课笔试、综合面试及攻博计划书等材料审核，各专业考试科目及内容详见学院2025年博士研究生招生专业目录（附件）。复试安排预计于复试名单之后公布，请关注学院后续通知。</w:t>
      </w:r>
    </w:p>
    <w:p w14:paraId="0F169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六、成绩计算及拟录取</w:t>
      </w:r>
    </w:p>
    <w:p w14:paraId="4BBBE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（一）成绩计算</w:t>
      </w:r>
    </w:p>
    <w:p w14:paraId="740E94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1.综合总成绩计算公式：</w:t>
      </w:r>
    </w:p>
    <w:p w14:paraId="119F56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综合总成绩=专业课笔试成绩×40/100+面试成绩×40/100+攻博材料审核成绩×20/100。</w:t>
      </w:r>
    </w:p>
    <w:p w14:paraId="489959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2.外语水平考试成绩另作合格要求，不计入综合总成绩。</w:t>
      </w:r>
    </w:p>
    <w:p w14:paraId="7A2CDD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3.同等学力加试成绩不计入综合总成绩。</w:t>
      </w:r>
    </w:p>
    <w:p w14:paraId="387990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（二）录取原则</w:t>
      </w:r>
    </w:p>
    <w:p w14:paraId="444D18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0FC271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拟录取名单按照推荐进入复试的导师名下的上线考生综合总成绩，从高分到低分依序确定。具体录取规则以学校复试工作方案为准。</w:t>
      </w:r>
    </w:p>
    <w:p w14:paraId="4FF5F9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应届硕士毕业生考生录取当年入学前未取得国家承认的相应学历学位证书或教育部留学服务中心出具的《国（境）外学历学位认证书》者，录取资格无效。</w:t>
      </w:r>
    </w:p>
    <w:p w14:paraId="0BAD02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对报名或考试中有弄虚作假或者其他违规行为的考生，不论何时，一经查实，即按有关规定取消报考资格、录取资格、入学资格或学籍。已毕业者将追回学历证书并取消其学位。</w:t>
      </w:r>
    </w:p>
    <w:p w14:paraId="5B0BE2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七、信息公开公示</w:t>
      </w:r>
    </w:p>
    <w:p w14:paraId="76CC01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复试结束后，将在学院网站（https://hri.swupl.edu.cn/）公布考生最终成绩。成绩公示期间接受考生咨询和申诉：</w:t>
      </w:r>
    </w:p>
    <w:p w14:paraId="6B6FBC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咨询电话：023-67258917 监督电话：023-67258172</w:t>
      </w:r>
    </w:p>
    <w:p w14:paraId="6BD372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邮箱：hri@swupl.edu.cn</w:t>
      </w:r>
    </w:p>
    <w:p w14:paraId="591F1B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监督邮箱：hri_graduate@swupl.edu.cn</w:t>
      </w:r>
    </w:p>
    <w:p w14:paraId="2C3CAD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八、其他事项</w:t>
      </w:r>
    </w:p>
    <w:p w14:paraId="2B19B6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1.拟录取考生应根据教育部相关文件的体检要求，自行到二级甲等以上（含二级甲等）医院进行体格检查，体检费用自理。体检报告提交时间另行通知。</w:t>
      </w:r>
    </w:p>
    <w:p w14:paraId="436A2A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考生应当认真了解并严格按照《西南政法大学2025年博士研究生招生章程》《西南政法大学人权研究院（人权学院）2025年博士研究生招生工作实施细则-第二批》所规定报考条件及相关政策要求进行报考。因不符合报考条件及相关政策要求，造成后续不能考试（含初审和复试）或录取的，后果由考生本人承担。</w:t>
      </w:r>
    </w:p>
    <w:p w14:paraId="2C9164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p>
    <w:p w14:paraId="3A2592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p>
    <w:p w14:paraId="4EE383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西南政法大学2025年博士研究生招生专业目录（第二批）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8"/>
        <w:gridCol w:w="1648"/>
        <w:gridCol w:w="706"/>
        <w:gridCol w:w="645"/>
        <w:gridCol w:w="769"/>
        <w:gridCol w:w="450"/>
        <w:gridCol w:w="1749"/>
        <w:gridCol w:w="1481"/>
      </w:tblGrid>
      <w:tr w14:paraId="019B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7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352E08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院系代码</w:t>
            </w:r>
          </w:p>
          <w:p w14:paraId="75DF4F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及名称</w:t>
            </w:r>
          </w:p>
        </w:tc>
        <w:tc>
          <w:tcPr>
            <w:tcW w:w="2675" w:type="dxa"/>
            <w:tcBorders>
              <w:top w:val="single" w:color="auto" w:sz="6" w:space="0"/>
              <w:left w:val="nil"/>
              <w:bottom w:val="single" w:color="auto" w:sz="6" w:space="0"/>
              <w:right w:val="single" w:color="auto" w:sz="6" w:space="0"/>
            </w:tcBorders>
            <w:shd w:val="clear"/>
            <w:tcMar>
              <w:left w:w="105" w:type="dxa"/>
              <w:right w:w="105" w:type="dxa"/>
            </w:tcMar>
            <w:vAlign w:val="top"/>
          </w:tcPr>
          <w:p w14:paraId="116A92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专业代码、名称</w:t>
            </w:r>
          </w:p>
          <w:p w14:paraId="26DE91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及研究方向</w:t>
            </w:r>
          </w:p>
        </w:tc>
        <w:tc>
          <w:tcPr>
            <w:tcW w:w="980" w:type="dxa"/>
            <w:tcBorders>
              <w:top w:val="single" w:color="auto" w:sz="6" w:space="0"/>
              <w:left w:val="nil"/>
              <w:bottom w:val="single" w:color="auto" w:sz="6" w:space="0"/>
              <w:right w:val="single" w:color="auto" w:sz="6" w:space="0"/>
            </w:tcBorders>
            <w:shd w:val="clear"/>
            <w:tcMar>
              <w:left w:w="105" w:type="dxa"/>
              <w:right w:w="105" w:type="dxa"/>
            </w:tcMar>
            <w:vAlign w:val="top"/>
          </w:tcPr>
          <w:p w14:paraId="135CD3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招考</w:t>
            </w:r>
          </w:p>
          <w:p w14:paraId="4B427B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方式</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top"/>
          </w:tcPr>
          <w:p w14:paraId="2F8D45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学习</w:t>
            </w:r>
          </w:p>
          <w:p w14:paraId="2C1937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方式</w:t>
            </w:r>
          </w:p>
        </w:tc>
        <w:tc>
          <w:tcPr>
            <w:tcW w:w="860" w:type="dxa"/>
            <w:tcBorders>
              <w:top w:val="single" w:color="auto" w:sz="6" w:space="0"/>
              <w:left w:val="nil"/>
              <w:bottom w:val="single" w:color="auto" w:sz="6" w:space="0"/>
              <w:right w:val="single" w:color="auto" w:sz="6" w:space="0"/>
            </w:tcBorders>
            <w:shd w:val="clear"/>
            <w:tcMar>
              <w:left w:w="105" w:type="dxa"/>
              <w:right w:w="105" w:type="dxa"/>
            </w:tcMar>
            <w:vAlign w:val="top"/>
          </w:tcPr>
          <w:p w14:paraId="06887C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指导</w:t>
            </w:r>
          </w:p>
          <w:p w14:paraId="269B13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教师</w:t>
            </w:r>
          </w:p>
        </w:tc>
        <w:tc>
          <w:tcPr>
            <w:tcW w:w="395" w:type="dxa"/>
            <w:tcBorders>
              <w:top w:val="single" w:color="auto" w:sz="6" w:space="0"/>
              <w:left w:val="nil"/>
              <w:bottom w:val="single" w:color="auto" w:sz="6" w:space="0"/>
              <w:right w:val="single" w:color="auto" w:sz="6" w:space="0"/>
            </w:tcBorders>
            <w:shd w:val="clear"/>
            <w:tcMar>
              <w:left w:w="105" w:type="dxa"/>
              <w:right w:w="105" w:type="dxa"/>
            </w:tcMar>
            <w:vAlign w:val="top"/>
          </w:tcPr>
          <w:p w14:paraId="4C095D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人数</w:t>
            </w:r>
          </w:p>
        </w:tc>
        <w:tc>
          <w:tcPr>
            <w:tcW w:w="2885" w:type="dxa"/>
            <w:tcBorders>
              <w:top w:val="single" w:color="auto" w:sz="6" w:space="0"/>
              <w:left w:val="nil"/>
              <w:bottom w:val="single" w:color="auto" w:sz="6" w:space="0"/>
              <w:right w:val="single" w:color="auto" w:sz="6" w:space="0"/>
            </w:tcBorders>
            <w:shd w:val="clear"/>
            <w:tcMar>
              <w:left w:w="105" w:type="dxa"/>
              <w:right w:w="105" w:type="dxa"/>
            </w:tcMar>
            <w:vAlign w:val="top"/>
          </w:tcPr>
          <w:p w14:paraId="26CF98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考试科目</w:t>
            </w:r>
          </w:p>
        </w:tc>
        <w:tc>
          <w:tcPr>
            <w:tcW w:w="2330" w:type="dxa"/>
            <w:tcBorders>
              <w:top w:val="single" w:color="auto" w:sz="6" w:space="0"/>
              <w:left w:val="nil"/>
              <w:bottom w:val="single" w:color="auto" w:sz="6" w:space="0"/>
              <w:right w:val="single" w:color="auto" w:sz="6" w:space="0"/>
            </w:tcBorders>
            <w:shd w:val="clear"/>
            <w:tcMar>
              <w:left w:w="105" w:type="dxa"/>
              <w:right w:w="105" w:type="dxa"/>
            </w:tcMar>
            <w:vAlign w:val="top"/>
          </w:tcPr>
          <w:p w14:paraId="24B4B9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备注</w:t>
            </w:r>
          </w:p>
        </w:tc>
      </w:tr>
      <w:tr w14:paraId="0C51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0" w:hRule="atLeast"/>
        </w:trPr>
        <w:tc>
          <w:tcPr>
            <w:tcW w:w="1355" w:type="dxa"/>
            <w:tcBorders>
              <w:top w:val="nil"/>
              <w:left w:val="single" w:color="auto" w:sz="6" w:space="0"/>
              <w:bottom w:val="single" w:color="auto" w:sz="6" w:space="0"/>
              <w:right w:val="single" w:color="auto" w:sz="6" w:space="0"/>
            </w:tcBorders>
            <w:shd w:val="clear"/>
            <w:tcMar>
              <w:left w:w="105" w:type="dxa"/>
              <w:right w:w="105" w:type="dxa"/>
            </w:tcMar>
            <w:vAlign w:val="top"/>
          </w:tcPr>
          <w:p w14:paraId="4B3F59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015 人权学院</w:t>
            </w:r>
          </w:p>
        </w:tc>
        <w:tc>
          <w:tcPr>
            <w:tcW w:w="2345" w:type="dxa"/>
            <w:tcBorders>
              <w:top w:val="nil"/>
              <w:left w:val="nil"/>
              <w:bottom w:val="single" w:color="auto" w:sz="6" w:space="0"/>
              <w:right w:val="single" w:color="auto" w:sz="6" w:space="0"/>
            </w:tcBorders>
            <w:shd w:val="clear"/>
            <w:tcMar>
              <w:left w:w="105" w:type="dxa"/>
              <w:right w:w="105" w:type="dxa"/>
            </w:tcMar>
            <w:vAlign w:val="top"/>
          </w:tcPr>
          <w:p w14:paraId="4AC153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0301Z6人权法学</w:t>
            </w:r>
          </w:p>
          <w:p w14:paraId="39796D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01马克思主义人权理论</w:t>
            </w:r>
          </w:p>
          <w:p w14:paraId="4438C1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02人权理论与实践</w:t>
            </w:r>
          </w:p>
          <w:p w14:paraId="1EFBCE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03人权的司法保障</w:t>
            </w:r>
          </w:p>
          <w:p w14:paraId="683B4E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04人权与法治</w:t>
            </w:r>
          </w:p>
          <w:p w14:paraId="6F3D95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05非传统安全与人权</w:t>
            </w:r>
          </w:p>
          <w:p w14:paraId="38ADE7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06习近平人权理论研究</w:t>
            </w:r>
          </w:p>
          <w:p w14:paraId="20DC72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07国别人权研究</w:t>
            </w:r>
          </w:p>
        </w:tc>
        <w:tc>
          <w:tcPr>
            <w:tcW w:w="980" w:type="dxa"/>
            <w:tcBorders>
              <w:top w:val="nil"/>
              <w:left w:val="nil"/>
              <w:bottom w:val="single" w:color="auto" w:sz="6" w:space="0"/>
              <w:right w:val="single" w:color="auto" w:sz="6" w:space="0"/>
            </w:tcBorders>
            <w:shd w:val="clear"/>
            <w:tcMar>
              <w:left w:w="105" w:type="dxa"/>
              <w:right w:w="105" w:type="dxa"/>
            </w:tcMar>
            <w:vAlign w:val="top"/>
          </w:tcPr>
          <w:p w14:paraId="3E866F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申请-</w:t>
            </w:r>
          </w:p>
          <w:p w14:paraId="262263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考核制</w:t>
            </w:r>
          </w:p>
        </w:tc>
        <w:tc>
          <w:tcPr>
            <w:tcW w:w="855" w:type="dxa"/>
            <w:tcBorders>
              <w:top w:val="nil"/>
              <w:left w:val="nil"/>
              <w:bottom w:val="single" w:color="auto" w:sz="6" w:space="0"/>
              <w:right w:val="single" w:color="auto" w:sz="6" w:space="0"/>
            </w:tcBorders>
            <w:shd w:val="clear"/>
            <w:tcMar>
              <w:left w:w="105" w:type="dxa"/>
              <w:right w:w="105" w:type="dxa"/>
            </w:tcMar>
            <w:vAlign w:val="top"/>
          </w:tcPr>
          <w:p w14:paraId="3D228C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全日制</w:t>
            </w:r>
          </w:p>
        </w:tc>
        <w:tc>
          <w:tcPr>
            <w:tcW w:w="1110" w:type="dxa"/>
            <w:tcBorders>
              <w:top w:val="nil"/>
              <w:left w:val="nil"/>
              <w:bottom w:val="single" w:color="auto" w:sz="6" w:space="0"/>
              <w:right w:val="single" w:color="auto" w:sz="6" w:space="0"/>
            </w:tcBorders>
            <w:shd w:val="clear"/>
            <w:tcMar>
              <w:left w:w="105" w:type="dxa"/>
              <w:right w:w="105" w:type="dxa"/>
            </w:tcMar>
            <w:vAlign w:val="top"/>
          </w:tcPr>
          <w:p w14:paraId="76F3E0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孟庆涛</w:t>
            </w:r>
          </w:p>
          <w:p w14:paraId="2F19A6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张建文</w:t>
            </w:r>
          </w:p>
          <w:p w14:paraId="1410AB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卓泽渊*</w:t>
            </w:r>
          </w:p>
        </w:tc>
        <w:tc>
          <w:tcPr>
            <w:tcW w:w="395" w:type="dxa"/>
            <w:tcBorders>
              <w:top w:val="nil"/>
              <w:left w:val="nil"/>
              <w:bottom w:val="single" w:color="auto" w:sz="6" w:space="0"/>
              <w:right w:val="single" w:color="auto" w:sz="6" w:space="0"/>
            </w:tcBorders>
            <w:shd w:val="clear"/>
            <w:tcMar>
              <w:left w:w="105" w:type="dxa"/>
              <w:right w:w="105" w:type="dxa"/>
            </w:tcMar>
            <w:vAlign w:val="top"/>
          </w:tcPr>
          <w:p w14:paraId="021787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3</w:t>
            </w:r>
          </w:p>
        </w:tc>
        <w:tc>
          <w:tcPr>
            <w:tcW w:w="2690" w:type="dxa"/>
            <w:tcBorders>
              <w:top w:val="nil"/>
              <w:left w:val="nil"/>
              <w:bottom w:val="single" w:color="auto" w:sz="6" w:space="0"/>
              <w:right w:val="single" w:color="auto" w:sz="6" w:space="0"/>
            </w:tcBorders>
            <w:shd w:val="clear"/>
            <w:tcMar>
              <w:left w:w="105" w:type="dxa"/>
              <w:right w:w="105" w:type="dxa"/>
            </w:tcMar>
            <w:vAlign w:val="top"/>
          </w:tcPr>
          <w:p w14:paraId="03A549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①1001英语1002俄语1003日语1004德语1005法语或1006免试外语任选一</w:t>
            </w:r>
          </w:p>
          <w:p w14:paraId="0EC4F4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②人权法学（含中国人权法学、国际人权法学）100分</w:t>
            </w:r>
          </w:p>
        </w:tc>
        <w:tc>
          <w:tcPr>
            <w:tcW w:w="2105" w:type="dxa"/>
            <w:tcBorders>
              <w:top w:val="nil"/>
              <w:left w:val="nil"/>
              <w:bottom w:val="single" w:color="auto" w:sz="6" w:space="0"/>
              <w:right w:val="single" w:color="auto" w:sz="6" w:space="0"/>
            </w:tcBorders>
            <w:shd w:val="clear"/>
            <w:tcMar>
              <w:left w:w="105" w:type="dxa"/>
              <w:right w:w="105" w:type="dxa"/>
            </w:tcMar>
            <w:vAlign w:val="top"/>
          </w:tcPr>
          <w:p w14:paraId="2259F4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同等学力考生加试：</w:t>
            </w:r>
          </w:p>
          <w:p w14:paraId="71CCFC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①政治理论(含马克思主义哲学和政治经济学)</w:t>
            </w:r>
          </w:p>
          <w:p w14:paraId="47B1E5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②法理学</w:t>
            </w:r>
          </w:p>
          <w:p w14:paraId="73FCD6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left"/>
              <w:textAlignment w:val="baseline"/>
              <w:rPr>
                <w:b w:val="0"/>
                <w:bCs w:val="0"/>
                <w:sz w:val="24"/>
                <w:szCs w:val="24"/>
              </w:rPr>
            </w:pPr>
            <w:r>
              <w:rPr>
                <w:b w:val="0"/>
                <w:bCs w:val="0"/>
                <w:sz w:val="24"/>
                <w:szCs w:val="24"/>
                <w:bdr w:val="none" w:color="auto" w:sz="0" w:space="0"/>
                <w:vertAlign w:val="baseline"/>
              </w:rPr>
              <w:t>③国际公法</w:t>
            </w:r>
          </w:p>
        </w:tc>
      </w:tr>
    </w:tbl>
    <w:p w14:paraId="600D27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32" w:lineRule="atLeast"/>
        <w:ind w:left="0" w:right="0" w:firstLine="420"/>
        <w:jc w:val="both"/>
        <w:textAlignment w:val="baseline"/>
        <w:rPr>
          <w:b w:val="0"/>
          <w:bCs w:val="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vertAlign w:val="baseline"/>
        </w:rPr>
        <w:t>注：*号为兼职导师</w:t>
      </w: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358E17EA"/>
    <w:rsid w:val="50B15470"/>
    <w:rsid w:val="67D47C93"/>
    <w:rsid w:val="68A128B9"/>
    <w:rsid w:val="712E093E"/>
    <w:rsid w:val="72B1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E1A7BF2005A94CB4897EFACAF815AB00_13</vt:lpwstr>
  </property>
  <property fmtid="{D5CDD505-2E9C-101B-9397-08002B2CF9AE}" pid="4" name="KSOTemplateDocerSaveRecord">
    <vt:lpwstr>eyJoZGlkIjoiYTFmNmVhOTkxNjMwODU5NTJlYjI4NDc1ZWVjNjRhZWUiLCJ1c2VySWQiOiIxNDE1NTEzMzA2In0=</vt:lpwstr>
  </property>
</Properties>
</file>