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000000"/>
          <w:spacing w:val="0"/>
          <w:sz w:val="27"/>
          <w:szCs w:val="27"/>
          <w:shd w:val="clear" w:fill="FFFFFF"/>
        </w:rPr>
      </w:pPr>
      <w:r>
        <w:rPr>
          <w:rFonts w:ascii="黑体" w:hAnsi="宋体" w:eastAsia="黑体" w:cs="黑体"/>
          <w:i w:val="0"/>
          <w:iCs w:val="0"/>
          <w:caps w:val="0"/>
          <w:color w:val="000000"/>
          <w:spacing w:val="0"/>
          <w:sz w:val="27"/>
          <w:szCs w:val="27"/>
          <w:shd w:val="clear" w:fill="FFFFFF"/>
        </w:rPr>
        <w:t>制药工程学院2024年博士研究生招生复试及申请考核实施细则</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根据《沈阳药科大学2024年博士研究生考试招生工作办法》要求，结合我院博士研究生招生工作需要，制定制药工程学院2024年博士研究生招生复试及申请考核实施细则，如下：</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一、组织领导</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在学校研究生招生工作领导小组的组织和领导下，成立制药工程学院博士研究生招生工作领导小组,各学科分别成立招生考核专家组。领导小组负责统筹管理各学科考核小组工作，考核小组负责各学科考核工作的具体开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学院博士研究生招生工作领导小组：</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00"/>
        <w:gridCol w:w="1560"/>
        <w:gridCol w:w="1560"/>
        <w:gridCol w:w="1560"/>
        <w:gridCol w:w="15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组长：</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刘 洋</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ascii="微软雅黑" w:hAnsi="微软雅黑" w:eastAsia="微软雅黑" w:cs="微软雅黑"/>
                <w:i w:val="0"/>
                <w:iCs w:val="0"/>
                <w:caps w:val="0"/>
                <w:color w:val="000000"/>
                <w:spacing w:val="0"/>
                <w:sz w:val="21"/>
                <w:szCs w:val="21"/>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副组长：</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王绍宁</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武晓娜</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成员：</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刘 丹</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许佑君</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李 哲</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张聪璐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宫 平</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赵临襄</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赵燕芳</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侯晓虹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0" w:hRule="atLeast"/>
        </w:trPr>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胡 春</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郭永学</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秦铭泽</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翟 鑫</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秘书：</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杨艺宁</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卜艳鑫</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朱铭琳</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bl>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各学科成立招生考核专家组，对通过进入复试名单的考生进行考核。考核专家组由不少于5人的博士生导师（或相当于教授以上职称）组成，考核专家组设1名组长和1名秘书，秘书负责考核过程的记录等工作。考核过程应严格进行记录，所有考核内容各单位都应有可以复查的考核记录材料，考核全程录音、录像，所有考核相关材料妥善留存备查。</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二、复试及申请考核名单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经学校审核公示的考生，见我校研究生教育网。</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三、复试及申请考核安排</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（一）复试及申请考核方式</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采取现场考核方式。</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（二）报到安排</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报到时间：统一招考学生6月5日-6月6日</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报到地点：南校区制药工程学院204</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报到时间：申请考核学生6月12日</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报到地点：南校区制药工程学院229</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纸质材料提交要求：1-8项一起A4左侧双钉；9-10项（报考登记表+2份专家推荐书）一起左侧双钉。</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（三）复试及申请考核内容</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1.统一考试入学复试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统一考试入学复试为综合素质考核，重点考核考生是否具有攻读博士学位的条件和能力，满分为100分，成绩低于60分为考核不合格不予录取。</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85"/>
        <w:gridCol w:w="2055"/>
        <w:gridCol w:w="1710"/>
        <w:gridCol w:w="2595"/>
        <w:gridCol w:w="7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118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专业</w:t>
            </w:r>
          </w:p>
        </w:tc>
        <w:tc>
          <w:tcPr>
            <w:tcW w:w="205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复试时间</w:t>
            </w:r>
          </w:p>
        </w:tc>
        <w:tc>
          <w:tcPr>
            <w:tcW w:w="171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复试地点</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复试内容及要求</w:t>
            </w:r>
          </w:p>
        </w:tc>
        <w:tc>
          <w:tcPr>
            <w:tcW w:w="76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11" w:hRule="atLeast"/>
        </w:trPr>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药物化学</w:t>
            </w:r>
          </w:p>
        </w:tc>
        <w:tc>
          <w:tcPr>
            <w:tcW w:w="20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2024年6月12日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8:30-17:30</w:t>
            </w:r>
          </w:p>
        </w:tc>
        <w:tc>
          <w:tcPr>
            <w:tcW w:w="1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制药楼227、</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制药楼229</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A．考生以英语口头介绍个人简历、科研和社会实践经历、取得的成绩及获奖情况等内容，汇报时间为3-5分钟。（满分30分）</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B．以PPT介绍自己从事的科研工作，汇报时间10分钟，并回答复试专家提出的关于专业基础知识、领域前沿知识等方面的相关问题。（满分70分）</w:t>
            </w:r>
          </w:p>
        </w:tc>
        <w:tc>
          <w:tcPr>
            <w:tcW w:w="765"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制药工程</w:t>
            </w:r>
          </w:p>
        </w:tc>
        <w:tc>
          <w:tcPr>
            <w:tcW w:w="20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2024年6月12日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8:30-17:30</w:t>
            </w:r>
          </w:p>
        </w:tc>
        <w:tc>
          <w:tcPr>
            <w:tcW w:w="1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制药楼227、制药楼229</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21"/>
                <w:szCs w:val="21"/>
              </w:rPr>
            </w:pPr>
          </w:p>
        </w:tc>
        <w:tc>
          <w:tcPr>
            <w:tcW w:w="765"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bl>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2.申请考核制（生物与医药）考核</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考核内容包括外语水平、专业基础知识、专业知识和科研综合能力四个模块，每个单项满分为100分，满分400分。单项成绩低于60分为考核不合格不予录取。</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85"/>
        <w:gridCol w:w="1800"/>
        <w:gridCol w:w="1545"/>
        <w:gridCol w:w="3015"/>
        <w:gridCol w:w="7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专业</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考核时间</w:t>
            </w:r>
          </w:p>
        </w:tc>
        <w:tc>
          <w:tcPr>
            <w:tcW w:w="154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考核地点</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考核内容及要求</w:t>
            </w:r>
          </w:p>
        </w:tc>
        <w:tc>
          <w:tcPr>
            <w:tcW w:w="75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生物与</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医药</w:t>
            </w:r>
          </w:p>
        </w:tc>
        <w:tc>
          <w:tcPr>
            <w:tcW w:w="18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2024年6月12日8:30-17:30</w:t>
            </w:r>
          </w:p>
        </w:tc>
        <w:tc>
          <w:tcPr>
            <w:tcW w:w="15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制药楼227、制药楼229</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1.英语听说能力考核（满分100分）：考生以英文进行个人自我介绍，时间为3-5分钟。</w:t>
            </w:r>
          </w:p>
        </w:tc>
        <w:tc>
          <w:tcPr>
            <w:tcW w:w="750"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8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2.专业基础知识考核（满分100分）：通过回答考核组专家提出的关于生物与医药领域基础知识的相关问题，表现出对本专业基础知识的掌握情况。</w:t>
            </w:r>
          </w:p>
        </w:tc>
        <w:tc>
          <w:tcPr>
            <w:tcW w:w="75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8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3.专业知识能力考核（满分100分）：通过回答考核组专家提出的关于生物与医药前沿知识及最新研究动态的相关问题，表现出对国内外本领域的前沿技术、发展趋势及创新热点的掌握情况。</w:t>
            </w:r>
          </w:p>
        </w:tc>
        <w:tc>
          <w:tcPr>
            <w:tcW w:w="75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8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54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bdr w:val="none" w:color="auto" w:sz="0" w:space="0"/>
              </w:rPr>
              <w:t>4.科研创新能力考核（满分100分）：通过回答考核组专家提出的关于攻读博士学位期间的科研计划的相关问题，展示对专业博士学位培养方案的认知程度及解决实际应用型课题的可行性规划。</w:t>
            </w:r>
          </w:p>
        </w:tc>
        <w:tc>
          <w:tcPr>
            <w:tcW w:w="75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21"/>
                <w:szCs w:val="21"/>
              </w:rPr>
            </w:pPr>
          </w:p>
        </w:tc>
      </w:tr>
    </w:tbl>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四、录取、调剂工作</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见《沈阳药科大学2024年博士研究生招生考试工作办法》要求。</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五、考核监督和复议</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制药工程学院博士研究生招生工作领导小组和各专家考核小组对考核过程与结果的公平、公正负责，并负责解释考生提出的质疑。</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制药工程学院博士研究生招生工作联系电话：024-43520237，邮箱：Avery1110@163.com，</w:t>
      </w:r>
      <w:r>
        <w:rPr>
          <w:rStyle w:val="9"/>
          <w:rFonts w:hint="eastAsia" w:ascii="宋体" w:hAnsi="宋体" w:eastAsia="宋体" w:cs="宋体"/>
          <w:i w:val="0"/>
          <w:iCs w:val="0"/>
          <w:caps w:val="0"/>
          <w:color w:val="FF0000"/>
          <w:spacing w:val="0"/>
          <w:sz w:val="21"/>
          <w:szCs w:val="21"/>
          <w:bdr w:val="none" w:color="auto" w:sz="0" w:space="0"/>
          <w:shd w:val="clear" w:fill="FFFFFF"/>
        </w:rPr>
        <w:t>请考生加入下图微信群，后续复试分组、地点等安排将在群里通知：</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single" w:color="CCCCCC" w:sz="6" w:space="0"/>
          <w:shd w:val="clear" w:fill="FFFFFF"/>
        </w:rPr>
        <w:drawing>
          <wp:inline distT="0" distB="0" distL="114300" distR="114300">
            <wp:extent cx="4762500" cy="7391400"/>
            <wp:effectExtent l="0" t="0" r="0" b="0"/>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4"/>
                    <a:stretch>
                      <a:fillRect/>
                    </a:stretch>
                  </pic:blipFill>
                  <pic:spPr>
                    <a:xfrm>
                      <a:off x="0" y="0"/>
                      <a:ext cx="4762500" cy="7391400"/>
                    </a:xfrm>
                    <a:prstGeom prst="rect">
                      <a:avLst/>
                    </a:prstGeom>
                    <a:noFill/>
                    <a:ln w="9525">
                      <a:noFill/>
                    </a:ln>
                  </pic:spPr>
                </pic:pic>
              </a:graphicData>
            </a:graphic>
          </wp:inline>
        </w:drawing>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jc w:val="both"/>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bdr w:val="none" w:color="auto" w:sz="0" w:space="0"/>
          <w:shd w:val="clear" w:fill="FFFFFF"/>
        </w:rPr>
        <w:t>六、本实施细则的解释权归制药工程学院。</w:t>
      </w:r>
    </w:p>
    <w:p>
      <w:pPr>
        <w:rPr>
          <w:rFonts w:hint="default" w:ascii="黑体" w:hAnsi="宋体" w:eastAsia="黑体" w:cs="黑体"/>
          <w:i w:val="0"/>
          <w:iCs w:val="0"/>
          <w:caps w:val="0"/>
          <w:color w:val="000000"/>
          <w:spacing w:val="0"/>
          <w:sz w:val="27"/>
          <w:szCs w:val="27"/>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2F866987"/>
    <w:rsid w:val="48B707C5"/>
    <w:rsid w:val="619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Emphasis"/>
    <w:basedOn w:val="6"/>
    <w:qFormat/>
    <w:uiPriority w:val="0"/>
    <w:rPr>
      <w:i/>
    </w:rPr>
  </w:style>
  <w:style w:type="character" w:styleId="10">
    <w:name w:val="Hyperlink"/>
    <w:basedOn w:val="6"/>
    <w:uiPriority w:val="0"/>
    <w:rPr>
      <w:color w:val="4D4C4C"/>
      <w:u w:val="none"/>
    </w:rPr>
  </w:style>
  <w:style w:type="character" w:customStyle="1" w:styleId="11">
    <w:name w:val="column-name"/>
    <w:basedOn w:val="6"/>
    <w:uiPriority w:val="0"/>
    <w:rPr>
      <w:color w:val="124D83"/>
    </w:rPr>
  </w:style>
  <w:style w:type="character" w:customStyle="1" w:styleId="12">
    <w:name w:val="column-name1"/>
    <w:basedOn w:val="6"/>
    <w:uiPriority w:val="0"/>
    <w:rPr>
      <w:color w:val="124D83"/>
    </w:rPr>
  </w:style>
  <w:style w:type="character" w:customStyle="1" w:styleId="13">
    <w:name w:val="column-name2"/>
    <w:basedOn w:val="6"/>
    <w:uiPriority w:val="0"/>
    <w:rPr>
      <w:color w:val="124D83"/>
    </w:rPr>
  </w:style>
  <w:style w:type="character" w:customStyle="1" w:styleId="14">
    <w:name w:val="column-name3"/>
    <w:basedOn w:val="6"/>
    <w:uiPriority w:val="0"/>
    <w:rPr>
      <w:color w:val="124D83"/>
    </w:rPr>
  </w:style>
  <w:style w:type="character" w:customStyle="1" w:styleId="15">
    <w:name w:val="news_meta"/>
    <w:basedOn w:val="6"/>
    <w:uiPriority w:val="0"/>
  </w:style>
  <w:style w:type="character" w:customStyle="1" w:styleId="16">
    <w:name w:val="item-name"/>
    <w:basedOn w:val="6"/>
    <w:uiPriority w:val="0"/>
    <w:rPr>
      <w:bdr w:val="none" w:color="auto" w:sz="0" w:space="0"/>
    </w:rPr>
  </w:style>
  <w:style w:type="character" w:customStyle="1" w:styleId="17">
    <w:name w:val="item-name1"/>
    <w:basedOn w:val="6"/>
    <w:uiPriority w:val="0"/>
    <w:rPr>
      <w:bdr w:val="none" w:color="auto" w:sz="0" w:space="0"/>
    </w:rPr>
  </w:style>
  <w:style w:type="character" w:customStyle="1" w:styleId="18">
    <w:name w:val="item-name2"/>
    <w:basedOn w:val="6"/>
    <w:uiPriority w:val="0"/>
    <w:rPr>
      <w:bdr w:val="none" w:color="auto" w:sz="0" w:space="0"/>
      <w:shd w:val="clear" w:fill="A8253D"/>
    </w:rPr>
  </w:style>
  <w:style w:type="character" w:customStyle="1" w:styleId="19">
    <w:name w:val="item-name3"/>
    <w:basedOn w:val="6"/>
    <w:uiPriority w:val="0"/>
    <w:rPr>
      <w:shd w:val="clear" w:fill="A8253D"/>
    </w:rPr>
  </w:style>
  <w:style w:type="character" w:customStyle="1" w:styleId="20">
    <w:name w:val="item-name4"/>
    <w:basedOn w:val="6"/>
    <w:uiPriority w:val="0"/>
    <w:rPr>
      <w:bdr w:val="none" w:color="auto" w:sz="0" w:space="0"/>
    </w:rPr>
  </w:style>
  <w:style w:type="character" w:customStyle="1" w:styleId="21">
    <w:name w:val="item-name5"/>
    <w:basedOn w:val="6"/>
    <w:uiPriority w:val="0"/>
    <w:rPr>
      <w:bdr w:val="none" w:color="auto" w:sz="0" w:space="0"/>
    </w:rPr>
  </w:style>
  <w:style w:type="character" w:customStyle="1" w:styleId="22">
    <w:name w:val="site_name1"/>
    <w:basedOn w:val="6"/>
    <w:uiPriority w:val="0"/>
    <w:rPr>
      <w:b/>
      <w:bCs/>
      <w:color w:val="A8253D"/>
      <w:sz w:val="64"/>
      <w:szCs w:val="64"/>
    </w:rPr>
  </w:style>
  <w:style w:type="character" w:customStyle="1" w:styleId="23">
    <w:name w:val="column-name12"/>
    <w:basedOn w:val="6"/>
    <w:uiPriority w:val="0"/>
    <w:rPr>
      <w:color w:val="124D83"/>
    </w:rPr>
  </w:style>
  <w:style w:type="character" w:customStyle="1" w:styleId="24">
    <w:name w:val="column-name13"/>
    <w:basedOn w:val="6"/>
    <w:uiPriority w:val="0"/>
    <w:rPr>
      <w:color w:val="124D83"/>
    </w:rPr>
  </w:style>
  <w:style w:type="character" w:customStyle="1" w:styleId="25">
    <w:name w:val="column-name14"/>
    <w:basedOn w:val="6"/>
    <w:uiPriority w:val="0"/>
    <w:rPr>
      <w:color w:val="124D83"/>
    </w:rPr>
  </w:style>
  <w:style w:type="character" w:customStyle="1" w:styleId="26">
    <w:name w:val="column-name15"/>
    <w:basedOn w:val="6"/>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D9D2A0902CAF4137B1154BE35DD6301C_13</vt:lpwstr>
  </property>
</Properties>
</file>