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default" w:ascii="黑体" w:hAnsi="黑体" w:eastAsia="黑体" w:cs="黑体"/>
          <w:b/>
          <w:bCs/>
          <w:color w:val="auto"/>
          <w:kern w:val="0"/>
          <w:sz w:val="36"/>
          <w:szCs w:val="36"/>
          <w:lang w:val="en-US" w:eastAsia="zh-CN"/>
        </w:rPr>
      </w:pPr>
      <w:r>
        <w:rPr>
          <w:rFonts w:hint="eastAsia" w:ascii="黑体" w:hAnsi="黑体" w:eastAsia="黑体" w:cs="黑体"/>
          <w:b/>
          <w:bCs/>
          <w:color w:val="auto"/>
          <w:kern w:val="0"/>
          <w:sz w:val="36"/>
          <w:szCs w:val="36"/>
        </w:rPr>
        <w:t>安徽大学社会与政治学院202</w:t>
      </w:r>
      <w:r>
        <w:rPr>
          <w:rFonts w:hint="eastAsia" w:ascii="黑体" w:hAnsi="黑体" w:eastAsia="黑体" w:cs="黑体"/>
          <w:b/>
          <w:bCs/>
          <w:color w:val="auto"/>
          <w:kern w:val="0"/>
          <w:sz w:val="36"/>
          <w:szCs w:val="36"/>
          <w:lang w:val="en-US" w:eastAsia="zh-CN"/>
        </w:rPr>
        <w:t>4</w:t>
      </w:r>
      <w:r>
        <w:rPr>
          <w:rFonts w:hint="eastAsia" w:ascii="黑体" w:hAnsi="黑体" w:eastAsia="黑体" w:cs="黑体"/>
          <w:b/>
          <w:bCs/>
          <w:color w:val="auto"/>
          <w:kern w:val="0"/>
          <w:sz w:val="36"/>
          <w:szCs w:val="36"/>
        </w:rPr>
        <w:t>年硕博连读与申请审核制博士</w:t>
      </w:r>
      <w:r>
        <w:rPr>
          <w:rFonts w:hint="eastAsia" w:ascii="黑体" w:hAnsi="黑体" w:eastAsia="黑体" w:cs="黑体"/>
          <w:b/>
          <w:bCs/>
          <w:color w:val="auto"/>
          <w:kern w:val="0"/>
          <w:sz w:val="36"/>
          <w:szCs w:val="36"/>
          <w:lang w:val="en-US" w:eastAsia="zh-CN"/>
        </w:rPr>
        <w:t>研究</w:t>
      </w:r>
      <w:r>
        <w:rPr>
          <w:rFonts w:hint="eastAsia" w:ascii="黑体" w:hAnsi="黑体" w:eastAsia="黑体" w:cs="黑体"/>
          <w:b/>
          <w:bCs/>
          <w:color w:val="auto"/>
          <w:kern w:val="0"/>
          <w:sz w:val="36"/>
          <w:szCs w:val="36"/>
        </w:rPr>
        <w:t>生选拔</w:t>
      </w:r>
      <w:r>
        <w:rPr>
          <w:rFonts w:hint="eastAsia" w:ascii="黑体" w:hAnsi="黑体" w:eastAsia="黑体" w:cs="黑体"/>
          <w:b/>
          <w:bCs/>
          <w:color w:val="auto"/>
          <w:kern w:val="0"/>
          <w:sz w:val="36"/>
          <w:szCs w:val="36"/>
          <w:lang w:val="en-US" w:eastAsia="zh-CN"/>
        </w:rPr>
        <w:t>工作实施办法</w:t>
      </w:r>
    </w:p>
    <w:p>
      <w:pPr>
        <w:keepNext w:val="0"/>
        <w:keepLines w:val="0"/>
        <w:pageBreakBefore w:val="0"/>
        <w:kinsoku/>
        <w:wordWrap/>
        <w:overflowPunct/>
        <w:topLinePunct w:val="0"/>
        <w:autoSpaceDE/>
        <w:autoSpaceDN/>
        <w:bidi w:val="0"/>
        <w:adjustRightInd w:val="0"/>
        <w:snapToGrid w:val="0"/>
        <w:spacing w:line="440" w:lineRule="exact"/>
        <w:ind w:firstLine="720" w:firstLineChars="225"/>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为了进一步深化博士研究生招生制度改革，改善博士研究生生源结构，提高生源质量，根据安徽大学研究生院《</w:t>
      </w:r>
      <w:r>
        <w:rPr>
          <w:rFonts w:hint="eastAsia" w:ascii="仿宋" w:hAnsi="仿宋" w:eastAsia="仿宋" w:cs="仿宋"/>
          <w:color w:val="auto"/>
          <w:sz w:val="32"/>
          <w:szCs w:val="32"/>
          <w:lang w:eastAsia="zh-CN"/>
        </w:rPr>
        <w:t>2024</w:t>
      </w:r>
      <w:r>
        <w:rPr>
          <w:rFonts w:hint="eastAsia" w:ascii="仿宋" w:hAnsi="仿宋" w:eastAsia="仿宋" w:cs="仿宋"/>
          <w:color w:val="auto"/>
          <w:sz w:val="32"/>
          <w:szCs w:val="32"/>
        </w:rPr>
        <w:t>年硕博连读与申请审核制博士研究生选拔工作实施办法》，结合学院实际，制定本办法。</w:t>
      </w:r>
    </w:p>
    <w:p>
      <w:pPr>
        <w:keepNext w:val="0"/>
        <w:keepLines w:val="0"/>
        <w:pageBreakBefore w:val="0"/>
        <w:tabs>
          <w:tab w:val="left" w:pos="960"/>
        </w:tabs>
        <w:kinsoku/>
        <w:wordWrap/>
        <w:overflowPunct/>
        <w:topLinePunct w:val="0"/>
        <w:autoSpaceDE/>
        <w:autoSpaceDN/>
        <w:bidi w:val="0"/>
        <w:adjustRightInd w:val="0"/>
        <w:snapToGrid w:val="0"/>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color w:val="auto"/>
          <w:sz w:val="32"/>
          <w:szCs w:val="32"/>
        </w:rPr>
        <w:t>第一条 选拔对象</w:t>
      </w:r>
    </w:p>
    <w:p>
      <w:pPr>
        <w:keepNext w:val="0"/>
        <w:keepLines w:val="0"/>
        <w:pageBreakBefore w:val="0"/>
        <w:kinsoku/>
        <w:wordWrap/>
        <w:overflowPunct/>
        <w:topLinePunct w:val="0"/>
        <w:autoSpaceDE/>
        <w:autoSpaceDN/>
        <w:bidi w:val="0"/>
        <w:adjustRightInd w:val="0"/>
        <w:snapToGrid w:val="0"/>
        <w:spacing w:line="440" w:lineRule="exact"/>
        <w:ind w:firstLine="720" w:firstLineChars="225"/>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1.硕博连读博士生的申请人为我校202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级在读全日制硕士研究生或应届硕士毕业生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具体要求：202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 xml:space="preserve">年9月前完成硕士培养计划规定的所有课程学习和学分，各学期课程考试无补考，课程学习成绩优秀。 </w:t>
      </w:r>
    </w:p>
    <w:p>
      <w:pPr>
        <w:keepNext w:val="0"/>
        <w:keepLines w:val="0"/>
        <w:pageBreakBefore w:val="0"/>
        <w:kinsoku/>
        <w:wordWrap/>
        <w:overflowPunct/>
        <w:topLinePunct w:val="0"/>
        <w:autoSpaceDE/>
        <w:autoSpaceDN/>
        <w:bidi w:val="0"/>
        <w:adjustRightInd w:val="0"/>
        <w:snapToGrid w:val="0"/>
        <w:spacing w:line="440" w:lineRule="exact"/>
        <w:ind w:firstLine="720" w:firstLineChars="225"/>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2.申请审核制博士生申请人为硕士研究生毕业或已获硕士学位的人员或应届硕士毕业生（最迟须在入学前毕业或取得硕士学位）。</w:t>
      </w:r>
    </w:p>
    <w:p>
      <w:pPr>
        <w:keepNext w:val="0"/>
        <w:keepLines w:val="0"/>
        <w:pageBreakBefore w:val="0"/>
        <w:kinsoku/>
        <w:wordWrap/>
        <w:overflowPunct/>
        <w:topLinePunct w:val="0"/>
        <w:autoSpaceDE/>
        <w:autoSpaceDN/>
        <w:bidi w:val="0"/>
        <w:adjustRightInd w:val="0"/>
        <w:snapToGrid w:val="0"/>
        <w:spacing w:line="440" w:lineRule="exact"/>
        <w:ind w:firstLine="720" w:firstLineChars="225"/>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3.申请人硕士期间所学专业与所要申请的博士专业相同或相近，属于同一个一级学科优先。</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度硕博连读、申请审核制博士生按社会学一级学科招生，本着有利于学科发展与学位点建设的原则，充分考虑到学院拟招生导师的研究特长，限于在理论社会学、政治社会学、社会管理与社会政策、人类学等学科方向申请。</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5.硕博连读及申请审核制博士生必须全脱产学习(必须在入学前将档案及工资关系转入我校)。</w:t>
      </w:r>
    </w:p>
    <w:p>
      <w:pPr>
        <w:keepNext w:val="0"/>
        <w:keepLines w:val="0"/>
        <w:pageBreakBefore w:val="0"/>
        <w:kinsoku/>
        <w:wordWrap/>
        <w:overflowPunct/>
        <w:topLinePunct w:val="0"/>
        <w:autoSpaceDE/>
        <w:autoSpaceDN/>
        <w:bidi w:val="0"/>
        <w:adjustRightInd w:val="0"/>
        <w:snapToGrid w:val="0"/>
        <w:spacing w:line="440" w:lineRule="exact"/>
        <w:ind w:firstLine="643" w:firstLineChars="200"/>
        <w:jc w:val="left"/>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第二条 基本条件</w:t>
      </w:r>
    </w:p>
    <w:p>
      <w:pPr>
        <w:keepNext w:val="0"/>
        <w:keepLines w:val="0"/>
        <w:pageBreakBefore w:val="0"/>
        <w:tabs>
          <w:tab w:val="left" w:pos="780"/>
          <w:tab w:val="left" w:pos="900"/>
          <w:tab w:val="left" w:pos="1426"/>
        </w:tabs>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1.政治表现和思想品德优良，学风严谨，遵守学术道德规范。硕士在读期间没有受到任何处分，已获硕士学位者没有受到过任何刑事和行政处分。</w:t>
      </w:r>
    </w:p>
    <w:p>
      <w:pPr>
        <w:keepNext w:val="0"/>
        <w:keepLines w:val="0"/>
        <w:pageBreakBefore w:val="0"/>
        <w:tabs>
          <w:tab w:val="left" w:pos="780"/>
          <w:tab w:val="left" w:pos="900"/>
          <w:tab w:val="left" w:pos="1426"/>
        </w:tabs>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2.身心健康，具有良好的综合素质，对学术研究有浓厚兴趣，具有较强的创新精神、科研能力和培养潜质，能够正常地参加学习与科研活动。</w:t>
      </w:r>
    </w:p>
    <w:p>
      <w:pPr>
        <w:keepNext w:val="0"/>
        <w:keepLines w:val="0"/>
        <w:pageBreakBefore w:val="0"/>
        <w:tabs>
          <w:tab w:val="left" w:pos="780"/>
          <w:tab w:val="left" w:pos="900"/>
          <w:tab w:val="left" w:pos="1426"/>
        </w:tabs>
        <w:kinsoku/>
        <w:wordWrap/>
        <w:overflowPunct/>
        <w:topLinePunct w:val="0"/>
        <w:autoSpaceDE/>
        <w:autoSpaceDN/>
        <w:bidi w:val="0"/>
        <w:adjustRightInd w:val="0"/>
        <w:snapToGrid w:val="0"/>
        <w:spacing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硕博连读及申请审核制博士生申请人</w:t>
      </w:r>
      <w:r>
        <w:rPr>
          <w:rFonts w:hint="eastAsia" w:ascii="仿宋" w:hAnsi="仿宋" w:eastAsia="仿宋" w:cs="仿宋"/>
          <w:color w:val="auto"/>
          <w:sz w:val="32"/>
          <w:szCs w:val="32"/>
          <w:lang w:val="en-US" w:eastAsia="zh-CN"/>
        </w:rPr>
        <w:t>原则上要求第一外语为英语，外语水平须符合以下任一项：</w:t>
      </w:r>
    </w:p>
    <w:p>
      <w:pPr>
        <w:keepNext w:val="0"/>
        <w:keepLines w:val="0"/>
        <w:pageBreakBefore w:val="0"/>
        <w:tabs>
          <w:tab w:val="left" w:pos="780"/>
          <w:tab w:val="left" w:pos="900"/>
          <w:tab w:val="left" w:pos="1426"/>
        </w:tabs>
        <w:kinsoku/>
        <w:wordWrap/>
        <w:overflowPunct/>
        <w:topLinePunct w:val="0"/>
        <w:autoSpaceDE/>
        <w:autoSpaceDN/>
        <w:bidi w:val="0"/>
        <w:adjustRightInd w:val="0"/>
        <w:snapToGrid w:val="0"/>
        <w:spacing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 通过全国大学英语四级考试（四级成绩425分及以上）；</w:t>
      </w:r>
    </w:p>
    <w:p>
      <w:pPr>
        <w:keepNext w:val="0"/>
        <w:keepLines w:val="0"/>
        <w:pageBreakBefore w:val="0"/>
        <w:tabs>
          <w:tab w:val="left" w:pos="780"/>
          <w:tab w:val="left" w:pos="900"/>
          <w:tab w:val="left" w:pos="1426"/>
        </w:tabs>
        <w:kinsoku/>
        <w:wordWrap/>
        <w:overflowPunct/>
        <w:topLinePunct w:val="0"/>
        <w:autoSpaceDE/>
        <w:autoSpaceDN/>
        <w:bidi w:val="0"/>
        <w:adjustRightInd w:val="0"/>
        <w:snapToGrid w:val="0"/>
        <w:spacing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 TOEFL成绩80分及以上；</w:t>
      </w:r>
    </w:p>
    <w:p>
      <w:pPr>
        <w:keepNext w:val="0"/>
        <w:keepLines w:val="0"/>
        <w:pageBreakBefore w:val="0"/>
        <w:tabs>
          <w:tab w:val="left" w:pos="780"/>
          <w:tab w:val="left" w:pos="900"/>
          <w:tab w:val="left" w:pos="1426"/>
        </w:tabs>
        <w:kinsoku/>
        <w:wordWrap/>
        <w:overflowPunct/>
        <w:topLinePunct w:val="0"/>
        <w:autoSpaceDE/>
        <w:autoSpaceDN/>
        <w:bidi w:val="0"/>
        <w:adjustRightInd w:val="0"/>
        <w:snapToGrid w:val="0"/>
        <w:spacing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 IELTS（A类/学术类）成绩6分及以上；</w:t>
      </w:r>
    </w:p>
    <w:p>
      <w:pPr>
        <w:keepNext w:val="0"/>
        <w:keepLines w:val="0"/>
        <w:pageBreakBefore w:val="0"/>
        <w:tabs>
          <w:tab w:val="left" w:pos="780"/>
          <w:tab w:val="left" w:pos="900"/>
          <w:tab w:val="left" w:pos="1426"/>
        </w:tabs>
        <w:kinsoku/>
        <w:wordWrap/>
        <w:overflowPunct/>
        <w:topLinePunct w:val="0"/>
        <w:autoSpaceDE/>
        <w:autoSpaceDN/>
        <w:bidi w:val="0"/>
        <w:adjustRightInd w:val="0"/>
        <w:snapToGrid w:val="0"/>
        <w:spacing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 GRE成绩300分及以上；</w:t>
      </w:r>
    </w:p>
    <w:p>
      <w:pPr>
        <w:keepNext w:val="0"/>
        <w:keepLines w:val="0"/>
        <w:pageBreakBefore w:val="0"/>
        <w:tabs>
          <w:tab w:val="left" w:pos="780"/>
          <w:tab w:val="left" w:pos="900"/>
          <w:tab w:val="left" w:pos="1426"/>
        </w:tabs>
        <w:kinsoku/>
        <w:wordWrap/>
        <w:overflowPunct/>
        <w:topLinePunct w:val="0"/>
        <w:autoSpaceDE/>
        <w:autoSpaceDN/>
        <w:bidi w:val="0"/>
        <w:adjustRightInd w:val="0"/>
        <w:snapToGrid w:val="0"/>
        <w:spacing w:line="240" w:lineRule="auto"/>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 英语专业四级（及以上）考试合格。</w:t>
      </w:r>
    </w:p>
    <w:p>
      <w:pPr>
        <w:keepNext w:val="0"/>
        <w:keepLines w:val="0"/>
        <w:pageBreakBefore w:val="0"/>
        <w:tabs>
          <w:tab w:val="left" w:pos="780"/>
          <w:tab w:val="left" w:pos="900"/>
          <w:tab w:val="left" w:pos="1426"/>
        </w:tabs>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4.硕博连读博士生的申请人，应提交不少于2篇以第一作者公开发表的社会学专业相关学术论文；或不少于1篇以第一作者（除导师外）公开发表的社会学专业相关高水平学术论文。</w:t>
      </w:r>
    </w:p>
    <w:p>
      <w:pPr>
        <w:keepNext w:val="0"/>
        <w:keepLines w:val="0"/>
        <w:pageBreakBefore w:val="0"/>
        <w:tabs>
          <w:tab w:val="left" w:pos="780"/>
          <w:tab w:val="left" w:pos="900"/>
          <w:tab w:val="left" w:pos="1426"/>
        </w:tabs>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申请审核制博士生的申请人为应届硕士毕业生或毕业两年内的硕士，应提交不少于1篇以第一作者（除导师外）公开发表的社会学专业相关较高水平学术论文；或不少于2篇以第一作者（除导师外）公开发表的社会学专业相关学术论文。</w:t>
      </w:r>
    </w:p>
    <w:p>
      <w:pPr>
        <w:keepNext w:val="0"/>
        <w:keepLines w:val="0"/>
        <w:pageBreakBefore w:val="0"/>
        <w:tabs>
          <w:tab w:val="left" w:pos="780"/>
          <w:tab w:val="left" w:pos="900"/>
          <w:tab w:val="left" w:pos="1426"/>
        </w:tabs>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申请审核制博士生的申请人为已获硕士学位两年以上者，应提交近5年来（2019年1月1日以来）不少于2篇以第一作者公开发表的社会学专业相关高水平学术论文；或者不少于1篇以第一作者公开发表的社会学专业相关更高水平学术论文，或被《新华文摘》《中国社会科学文摘》《人大复印报刊资料》等全文或主体转载的社会学相关更高水平学术论文；或在硕士学习阶段除导师外为第一作者、发表不少于2篇较高水平社会学专业相关学术论文。</w:t>
      </w:r>
    </w:p>
    <w:p>
      <w:pPr>
        <w:keepNext w:val="0"/>
        <w:keepLines w:val="0"/>
        <w:pageBreakBefore w:val="0"/>
        <w:tabs>
          <w:tab w:val="left" w:pos="780"/>
          <w:tab w:val="left" w:pos="900"/>
          <w:tab w:val="left" w:pos="1426"/>
        </w:tabs>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7.符合上述条件的申请人若超出当年招生数，则需对上述各类情形的申请者按照加分细则依得分高低进行排序，具体情况参照加分细则执行。加分细则另行制定，并经社会与政治学院选拔考核领导小组审议通过。</w:t>
      </w:r>
    </w:p>
    <w:p>
      <w:pPr>
        <w:keepNext w:val="0"/>
        <w:keepLines w:val="0"/>
        <w:pageBreakBefore w:val="0"/>
        <w:tabs>
          <w:tab w:val="left" w:pos="960"/>
        </w:tabs>
        <w:kinsoku/>
        <w:wordWrap/>
        <w:overflowPunct/>
        <w:topLinePunct w:val="0"/>
        <w:autoSpaceDE/>
        <w:autoSpaceDN/>
        <w:bidi w:val="0"/>
        <w:adjustRightInd w:val="0"/>
        <w:snapToGrid w:val="0"/>
        <w:spacing w:line="440" w:lineRule="exact"/>
        <w:ind w:firstLine="643"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第三条 招生导师</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1.招生导师为通过学院</w:t>
      </w:r>
      <w:r>
        <w:rPr>
          <w:rFonts w:hint="eastAsia" w:ascii="仿宋" w:hAnsi="仿宋" w:eastAsia="仿宋" w:cs="仿宋"/>
          <w:color w:val="auto"/>
          <w:sz w:val="32"/>
          <w:szCs w:val="32"/>
          <w:lang w:eastAsia="zh-CN"/>
        </w:rPr>
        <w:t>2024</w:t>
      </w:r>
      <w:r>
        <w:rPr>
          <w:rFonts w:hint="eastAsia" w:ascii="仿宋" w:hAnsi="仿宋" w:eastAsia="仿宋" w:cs="仿宋"/>
          <w:color w:val="auto"/>
          <w:sz w:val="32"/>
          <w:szCs w:val="32"/>
        </w:rPr>
        <w:t>年博士生导师年度招生资格审核，并公告获得</w:t>
      </w:r>
      <w:r>
        <w:rPr>
          <w:rFonts w:hint="eastAsia" w:ascii="仿宋" w:hAnsi="仿宋" w:eastAsia="仿宋" w:cs="仿宋"/>
          <w:color w:val="auto"/>
          <w:sz w:val="32"/>
          <w:szCs w:val="32"/>
          <w:lang w:eastAsia="zh-CN"/>
        </w:rPr>
        <w:t>2024</w:t>
      </w:r>
      <w:r>
        <w:rPr>
          <w:rFonts w:hint="eastAsia" w:ascii="仿宋" w:hAnsi="仿宋" w:eastAsia="仿宋" w:cs="仿宋"/>
          <w:color w:val="auto"/>
          <w:sz w:val="32"/>
          <w:szCs w:val="32"/>
        </w:rPr>
        <w:t>年度博士生招生资格的教师。</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2.每位博士研究生导师每年招收不超过1名博士研究生。</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3.选拔过程中，允许硕博连读、申请审核制博士生在一级学科内更换方向、导师。</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w:t>
      </w:r>
      <w:r>
        <w:rPr>
          <w:rFonts w:hint="eastAsia" w:ascii="仿宋" w:hAnsi="仿宋" w:eastAsia="仿宋" w:cs="仿宋"/>
          <w:bCs/>
          <w:color w:val="auto"/>
          <w:sz w:val="32"/>
          <w:szCs w:val="32"/>
        </w:rPr>
        <w:t>若当年符合条件的博士生导师数量多于当年的博士招生名额，则按照由申请人选择导师的方式进行录取，没有申请人选择的导师当年不予以招收硕博连读与申请考核制博士生。</w:t>
      </w:r>
    </w:p>
    <w:p>
      <w:pPr>
        <w:keepNext w:val="0"/>
        <w:keepLines w:val="0"/>
        <w:pageBreakBefore w:val="0"/>
        <w:tabs>
          <w:tab w:val="left" w:pos="826"/>
        </w:tabs>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5.招收硕博连读和申请审核制博士生的导师，应为博士生提供相应的助研经费，具体数额参照研究生院相关规定执行。</w:t>
      </w:r>
    </w:p>
    <w:p>
      <w:pPr>
        <w:keepNext w:val="0"/>
        <w:keepLines w:val="0"/>
        <w:pageBreakBefore w:val="0"/>
        <w:tabs>
          <w:tab w:val="left" w:pos="826"/>
        </w:tabs>
        <w:kinsoku/>
        <w:wordWrap/>
        <w:overflowPunct/>
        <w:topLinePunct w:val="0"/>
        <w:autoSpaceDE/>
        <w:autoSpaceDN/>
        <w:bidi w:val="0"/>
        <w:adjustRightInd w:val="0"/>
        <w:snapToGrid w:val="0"/>
        <w:spacing w:line="440" w:lineRule="exact"/>
        <w:ind w:firstLine="643"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第四条 工作机构</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1.学院成立</w:t>
      </w:r>
      <w:r>
        <w:rPr>
          <w:rFonts w:hint="eastAsia" w:ascii="仿宋" w:hAnsi="仿宋" w:eastAsia="仿宋" w:cs="仿宋"/>
          <w:color w:val="auto"/>
          <w:sz w:val="32"/>
          <w:szCs w:val="32"/>
          <w:lang w:eastAsia="zh-CN"/>
        </w:rPr>
        <w:t>2024</w:t>
      </w:r>
      <w:r>
        <w:rPr>
          <w:rFonts w:hint="eastAsia" w:ascii="仿宋" w:hAnsi="仿宋" w:eastAsia="仿宋" w:cs="仿宋"/>
          <w:color w:val="auto"/>
          <w:sz w:val="32"/>
          <w:szCs w:val="32"/>
        </w:rPr>
        <w:t>年硕博连读和申请审核制博士生选拔考核领导小组（以下简称为“选拔考核领导小组”），负责组织本次选拔考核工作，对各项重大事项和争议作出决定和裁决。考核领导小组由学院领导班子、院纪委书记、院学术委员会主任委员、院学位分委员会主任组成。</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2.列入</w:t>
      </w:r>
      <w:r>
        <w:rPr>
          <w:rFonts w:hint="eastAsia" w:ascii="仿宋" w:hAnsi="仿宋" w:eastAsia="仿宋" w:cs="仿宋"/>
          <w:color w:val="auto"/>
          <w:sz w:val="32"/>
          <w:szCs w:val="32"/>
          <w:lang w:eastAsia="zh-CN"/>
        </w:rPr>
        <w:t>2024</w:t>
      </w:r>
      <w:r>
        <w:rPr>
          <w:rFonts w:hint="eastAsia" w:ascii="仿宋" w:hAnsi="仿宋" w:eastAsia="仿宋" w:cs="仿宋"/>
          <w:color w:val="auto"/>
          <w:sz w:val="32"/>
          <w:szCs w:val="32"/>
        </w:rPr>
        <w:t>年度博士招生计划的社会学一级学科各学科方向博士生导师组成选拔考核小组，成员不少于5人，组长由分管研究生教育工作的副院长担任。</w:t>
      </w:r>
    </w:p>
    <w:p>
      <w:pPr>
        <w:keepNext w:val="0"/>
        <w:keepLines w:val="0"/>
        <w:pageBreakBefore w:val="0"/>
        <w:kinsoku/>
        <w:wordWrap/>
        <w:overflowPunct/>
        <w:topLinePunct w:val="0"/>
        <w:autoSpaceDE/>
        <w:autoSpaceDN/>
        <w:bidi w:val="0"/>
        <w:adjustRightInd w:val="0"/>
        <w:snapToGrid w:val="0"/>
        <w:spacing w:line="440" w:lineRule="exact"/>
        <w:ind w:firstLine="643"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第五条 选拔程序</w:t>
      </w:r>
    </w:p>
    <w:p>
      <w:pPr>
        <w:keepNext w:val="0"/>
        <w:keepLines w:val="0"/>
        <w:pageBreakBefore w:val="0"/>
        <w:kinsoku/>
        <w:wordWrap/>
        <w:overflowPunct/>
        <w:topLinePunct w:val="0"/>
        <w:autoSpaceDE/>
        <w:autoSpaceDN/>
        <w:bidi w:val="0"/>
        <w:adjustRightInd w:val="0"/>
        <w:snapToGrid w:val="0"/>
        <w:spacing w:line="44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1.个人申请。</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申请人登录中国研究生招生信息网（http://yz.chsi.com.cn），进行网上报名、缴费，并提交相关材料到社会与政治学院审核。</w:t>
      </w:r>
    </w:p>
    <w:p>
      <w:pPr>
        <w:keepNext w:val="0"/>
        <w:keepLines w:val="0"/>
        <w:pageBreakBefore w:val="0"/>
        <w:kinsoku/>
        <w:wordWrap/>
        <w:overflowPunct/>
        <w:topLinePunct w:val="0"/>
        <w:autoSpaceDE/>
        <w:autoSpaceDN/>
        <w:bidi w:val="0"/>
        <w:adjustRightInd w:val="0"/>
        <w:snapToGrid w:val="0"/>
        <w:spacing w:line="44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2.申请材料。</w:t>
      </w:r>
    </w:p>
    <w:p>
      <w:pPr>
        <w:keepNext w:val="0"/>
        <w:keepLines w:val="0"/>
        <w:pageBreakBefore w:val="0"/>
        <w:kinsoku/>
        <w:wordWrap/>
        <w:overflowPunct/>
        <w:topLinePunct w:val="0"/>
        <w:autoSpaceDE/>
        <w:autoSpaceDN/>
        <w:bidi w:val="0"/>
        <w:adjustRightInd w:val="0"/>
        <w:snapToGrid w:val="0"/>
        <w:spacing w:line="44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（1）学校统一要求的材料：</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申请人需提交《安徽大学</w:t>
      </w:r>
      <w:r>
        <w:rPr>
          <w:rFonts w:hint="eastAsia" w:ascii="仿宋" w:hAnsi="仿宋" w:eastAsia="仿宋" w:cs="仿宋"/>
          <w:color w:val="auto"/>
          <w:sz w:val="32"/>
          <w:szCs w:val="32"/>
          <w:lang w:eastAsia="zh-CN"/>
        </w:rPr>
        <w:t>2024</w:t>
      </w:r>
      <w:r>
        <w:rPr>
          <w:rFonts w:hint="eastAsia" w:ascii="仿宋" w:hAnsi="仿宋" w:eastAsia="仿宋" w:cs="仿宋"/>
          <w:color w:val="auto"/>
          <w:sz w:val="32"/>
          <w:szCs w:val="32"/>
        </w:rPr>
        <w:t>年硕博连读及申请审核制博士生申请公告》中要求的材料电子版，同时向学院提交相关材料纸质版。</w:t>
      </w:r>
    </w:p>
    <w:p>
      <w:pPr>
        <w:keepNext w:val="0"/>
        <w:keepLines w:val="0"/>
        <w:pageBreakBefore w:val="0"/>
        <w:numPr>
          <w:ilvl w:val="0"/>
          <w:numId w:val="1"/>
        </w:numPr>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本科学历、学位证书复印件，硕士学历、学位证书复印件；</w:t>
      </w:r>
    </w:p>
    <w:p>
      <w:pPr>
        <w:keepNext w:val="0"/>
        <w:keepLines w:val="0"/>
        <w:pageBreakBefore w:val="0"/>
        <w:numPr>
          <w:ilvl w:val="0"/>
          <w:numId w:val="1"/>
        </w:numPr>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申请人本人身份证（二代居民身份证须正反两面）复印件；</w:t>
      </w:r>
    </w:p>
    <w:p>
      <w:pPr>
        <w:keepNext w:val="0"/>
        <w:keepLines w:val="0"/>
        <w:pageBreakBefore w:val="0"/>
        <w:numPr>
          <w:ilvl w:val="0"/>
          <w:numId w:val="1"/>
        </w:numPr>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科研成果及获奖证书等证明学术才能的材料原件及复印件以及检索证明；</w:t>
      </w:r>
    </w:p>
    <w:p>
      <w:pPr>
        <w:keepNext w:val="0"/>
        <w:keepLines w:val="0"/>
        <w:pageBreakBefore w:val="0"/>
        <w:numPr>
          <w:ilvl w:val="0"/>
          <w:numId w:val="1"/>
        </w:numPr>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硕士阶段成绩单；</w:t>
      </w:r>
    </w:p>
    <w:p>
      <w:pPr>
        <w:keepNext w:val="0"/>
        <w:keepLines w:val="0"/>
        <w:pageBreakBefore w:val="0"/>
        <w:numPr>
          <w:ilvl w:val="0"/>
          <w:numId w:val="1"/>
        </w:numPr>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有两名所报考学科专业领域内的教授（或相当专业技术职称的专家）的书面推荐（推荐书格式从报名网站下载）；</w:t>
      </w:r>
    </w:p>
    <w:p>
      <w:pPr>
        <w:keepNext w:val="0"/>
        <w:keepLines w:val="0"/>
        <w:pageBreakBefore w:val="0"/>
        <w:numPr>
          <w:ilvl w:val="0"/>
          <w:numId w:val="1"/>
        </w:numPr>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申请人近三个月内在国家三甲以上医院的体检报告（体检内容见报名网站附件“安徽大学体格体检表”）。</w:t>
      </w:r>
    </w:p>
    <w:p>
      <w:pPr>
        <w:keepNext w:val="0"/>
        <w:keepLines w:val="0"/>
        <w:pageBreakBefore w:val="0"/>
        <w:kinsoku/>
        <w:wordWrap/>
        <w:overflowPunct/>
        <w:topLinePunct w:val="0"/>
        <w:autoSpaceDE/>
        <w:autoSpaceDN/>
        <w:bidi w:val="0"/>
        <w:adjustRightInd w:val="0"/>
        <w:snapToGrid w:val="0"/>
        <w:spacing w:line="44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（2）学院另外要求的材料：申请人还需提交我院要求的其他申请材料（纸质版材料，要求A4纸规格按顺序排列，学术成果统计表、诚信复试承诺书与应届生承诺书等电子版届时从学院官网下载）：</w:t>
      </w:r>
    </w:p>
    <w:p>
      <w:pPr>
        <w:keepNext w:val="0"/>
        <w:keepLines w:val="0"/>
        <w:pageBreakBefore w:val="0"/>
        <w:numPr>
          <w:ilvl w:val="0"/>
          <w:numId w:val="2"/>
        </w:numPr>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网上报名成功后的《报名信息表》（从报名系统下载，需考生本人签字、单位人事或政工部门盖章）；</w:t>
      </w:r>
    </w:p>
    <w:p>
      <w:pPr>
        <w:keepNext w:val="0"/>
        <w:keepLines w:val="0"/>
        <w:pageBreakBefore w:val="0"/>
        <w:numPr>
          <w:ilvl w:val="0"/>
          <w:numId w:val="2"/>
        </w:numPr>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填写完整的《硕博连读申请表》或《申请审核制申请表》（从报名网站下载，需考生本人签字、单位人事或政工部门盖章）；</w:t>
      </w:r>
    </w:p>
    <w:p>
      <w:pPr>
        <w:keepNext w:val="0"/>
        <w:keepLines w:val="0"/>
        <w:pageBreakBefore w:val="0"/>
        <w:numPr>
          <w:ilvl w:val="0"/>
          <w:numId w:val="2"/>
        </w:numPr>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能够证明外语能力的有效材料复印件；</w:t>
      </w:r>
    </w:p>
    <w:p>
      <w:pPr>
        <w:keepNext w:val="0"/>
        <w:keepLines w:val="0"/>
        <w:pageBreakBefore w:val="0"/>
        <w:numPr>
          <w:ilvl w:val="0"/>
          <w:numId w:val="2"/>
        </w:numPr>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提交一份博士学习期间的研究计划（内容包含拟研究的问题、研究现状、研究框架、研究方法、创新点、主要参考文献等，总字数不超过5000字）；</w:t>
      </w:r>
    </w:p>
    <w:p>
      <w:pPr>
        <w:keepNext w:val="0"/>
        <w:keepLines w:val="0"/>
        <w:pageBreakBefore w:val="0"/>
        <w:numPr>
          <w:ilvl w:val="0"/>
          <w:numId w:val="2"/>
        </w:numPr>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已获得硕士学位的申请者需提供</w:t>
      </w:r>
      <w:r>
        <w:rPr>
          <w:rFonts w:hint="eastAsia" w:ascii="仿宋" w:hAnsi="仿宋" w:eastAsia="仿宋" w:cs="仿宋"/>
          <w:color w:val="auto"/>
          <w:sz w:val="32"/>
          <w:szCs w:val="32"/>
          <w:lang w:val="en-US" w:eastAsia="zh-CN"/>
        </w:rPr>
        <w:t>5份纸质版</w:t>
      </w:r>
      <w:r>
        <w:rPr>
          <w:rFonts w:hint="eastAsia" w:ascii="仿宋" w:hAnsi="仿宋" w:eastAsia="仿宋" w:cs="仿宋"/>
          <w:color w:val="auto"/>
          <w:sz w:val="32"/>
          <w:szCs w:val="32"/>
        </w:rPr>
        <w:t>硕士学位论文，应届生需提供</w:t>
      </w:r>
      <w:r>
        <w:rPr>
          <w:rFonts w:hint="eastAsia" w:ascii="仿宋" w:hAnsi="仿宋" w:eastAsia="仿宋" w:cs="仿宋"/>
          <w:color w:val="auto"/>
          <w:sz w:val="32"/>
          <w:szCs w:val="32"/>
          <w:lang w:val="en-US" w:eastAsia="zh-CN"/>
        </w:rPr>
        <w:t>5份纸质版</w:t>
      </w:r>
      <w:r>
        <w:rPr>
          <w:rFonts w:hint="eastAsia" w:ascii="仿宋" w:hAnsi="仿宋" w:eastAsia="仿宋" w:cs="仿宋"/>
          <w:color w:val="auto"/>
          <w:sz w:val="32"/>
          <w:szCs w:val="32"/>
        </w:rPr>
        <w:t>硕士学位论文初稿或不少于5000字的毕业论文介绍（应包括摘要、目录、导论、文献综述、框架等）；</w:t>
      </w:r>
    </w:p>
    <w:p>
      <w:pPr>
        <w:keepNext w:val="0"/>
        <w:keepLines w:val="0"/>
        <w:pageBreakBefore w:val="0"/>
        <w:numPr>
          <w:ilvl w:val="0"/>
          <w:numId w:val="2"/>
        </w:numPr>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1份包括学习以及学术研究的简要经历（要求自本科起不得间断，包括学校、院系、学科、专业，以及自硕士以来的学术成果，须重点说明与所报考专业相关的研究经历及相关成果等），总字数不超过3000字；</w:t>
      </w:r>
    </w:p>
    <w:p>
      <w:pPr>
        <w:keepNext w:val="0"/>
        <w:keepLines w:val="0"/>
        <w:pageBreakBefore w:val="0"/>
        <w:numPr>
          <w:ilvl w:val="0"/>
          <w:numId w:val="2"/>
        </w:numPr>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诚信复试承诺书与应届生承诺书；</w:t>
      </w:r>
    </w:p>
    <w:p>
      <w:pPr>
        <w:keepNext w:val="0"/>
        <w:keepLines w:val="0"/>
        <w:pageBreakBefore w:val="0"/>
        <w:numPr>
          <w:ilvl w:val="0"/>
          <w:numId w:val="2"/>
        </w:numPr>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学院或学校研究生院开具的导师证明；</w:t>
      </w:r>
    </w:p>
    <w:p>
      <w:pPr>
        <w:keepNext w:val="0"/>
        <w:keepLines w:val="0"/>
        <w:pageBreakBefore w:val="0"/>
        <w:numPr>
          <w:ilvl w:val="0"/>
          <w:numId w:val="2"/>
        </w:numPr>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学术成果统计表；</w:t>
      </w:r>
    </w:p>
    <w:p>
      <w:pPr>
        <w:keepNext w:val="0"/>
        <w:keepLines w:val="0"/>
        <w:pageBreakBefore w:val="0"/>
        <w:numPr>
          <w:ilvl w:val="0"/>
          <w:numId w:val="2"/>
        </w:numPr>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其他体现科研能力与综合素质的材料。</w:t>
      </w:r>
    </w:p>
    <w:p>
      <w:pPr>
        <w:keepNext w:val="0"/>
        <w:keepLines w:val="0"/>
        <w:pageBreakBefore w:val="0"/>
        <w:tabs>
          <w:tab w:val="left" w:pos="780"/>
          <w:tab w:val="left" w:pos="900"/>
          <w:tab w:val="left" w:pos="1426"/>
        </w:tabs>
        <w:kinsoku/>
        <w:wordWrap/>
        <w:overflowPunct/>
        <w:topLinePunct w:val="0"/>
        <w:autoSpaceDE/>
        <w:autoSpaceDN/>
        <w:bidi w:val="0"/>
        <w:adjustRightInd w:val="0"/>
        <w:snapToGrid w:val="0"/>
        <w:spacing w:line="44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3.申请材料提交要求。</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考生提交的所有申请材料如为复印件形式的，须在复试时提交可供核实的原件，否则不被采信和认定。所有申请材料须保证完整、真实、有效，凡有弄虚作假或其它任何不满足条件的情况，一经查实，即取消考生复试或录取资格。</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（2）未提交材料者不得参加复试。 </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（3）考生所提交的</w:t>
      </w:r>
      <w:r>
        <w:rPr>
          <w:rFonts w:hint="eastAsia" w:ascii="仿宋" w:hAnsi="仿宋" w:eastAsia="仿宋" w:cs="仿宋"/>
          <w:color w:val="auto"/>
          <w:sz w:val="32"/>
          <w:szCs w:val="32"/>
          <w:lang w:val="en-US" w:eastAsia="zh-CN"/>
        </w:rPr>
        <w:t>相关</w:t>
      </w:r>
      <w:r>
        <w:rPr>
          <w:rFonts w:hint="eastAsia" w:ascii="仿宋" w:hAnsi="仿宋" w:eastAsia="仿宋" w:cs="仿宋"/>
          <w:color w:val="auto"/>
          <w:sz w:val="32"/>
          <w:szCs w:val="32"/>
        </w:rPr>
        <w:t>材料</w:t>
      </w:r>
      <w:r>
        <w:rPr>
          <w:rFonts w:hint="eastAsia" w:ascii="仿宋" w:hAnsi="仿宋" w:eastAsia="仿宋" w:cs="仿宋"/>
          <w:color w:val="auto"/>
          <w:sz w:val="32"/>
          <w:szCs w:val="32"/>
          <w:lang w:val="en-US" w:eastAsia="zh-CN"/>
        </w:rPr>
        <w:t>原则上</w:t>
      </w:r>
      <w:r>
        <w:rPr>
          <w:rFonts w:hint="eastAsia" w:ascii="仿宋" w:hAnsi="仿宋" w:eastAsia="仿宋" w:cs="仿宋"/>
          <w:color w:val="auto"/>
          <w:sz w:val="32"/>
          <w:szCs w:val="32"/>
        </w:rPr>
        <w:t>不再退还，如有需要请自行备份留存；</w:t>
      </w:r>
      <w:r>
        <w:rPr>
          <w:rFonts w:hint="eastAsia" w:ascii="仿宋" w:hAnsi="仿宋" w:eastAsia="仿宋" w:cs="仿宋"/>
          <w:color w:val="auto"/>
          <w:sz w:val="32"/>
          <w:szCs w:val="32"/>
          <w:lang w:val="en-US" w:eastAsia="zh-CN"/>
        </w:rPr>
        <w:t>或者</w:t>
      </w:r>
      <w:r>
        <w:rPr>
          <w:rFonts w:hint="eastAsia" w:ascii="仿宋" w:hAnsi="仿宋" w:eastAsia="仿宋" w:cs="仿宋"/>
          <w:color w:val="auto"/>
          <w:sz w:val="32"/>
          <w:szCs w:val="32"/>
        </w:rPr>
        <w:t>等面试完成后通过顺丰到付方式邮递</w:t>
      </w:r>
      <w:r>
        <w:rPr>
          <w:rFonts w:hint="eastAsia" w:ascii="仿宋" w:hAnsi="仿宋" w:eastAsia="仿宋" w:cs="仿宋"/>
          <w:color w:val="auto"/>
          <w:sz w:val="32"/>
          <w:szCs w:val="32"/>
          <w:lang w:val="en-US" w:eastAsia="zh-CN"/>
        </w:rPr>
        <w:t>返还</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b w:val="0"/>
          <w:bCs w:val="0"/>
          <w:strike w:val="0"/>
          <w:dstrike w:val="0"/>
          <w:color w:val="auto"/>
          <w:sz w:val="32"/>
          <w:szCs w:val="32"/>
          <w:u w:val="none"/>
        </w:rPr>
      </w:pPr>
      <w:r>
        <w:rPr>
          <w:rFonts w:hint="eastAsia" w:ascii="仿宋" w:hAnsi="仿宋" w:eastAsia="仿宋" w:cs="仿宋"/>
          <w:b w:val="0"/>
          <w:bCs w:val="0"/>
          <w:strike w:val="0"/>
          <w:dstrike w:val="0"/>
          <w:color w:val="auto"/>
          <w:sz w:val="32"/>
          <w:szCs w:val="32"/>
          <w:u w:val="none"/>
        </w:rPr>
        <w:t>（4）申请人的申请材料与科研成果原件及复印件、学术获奖证书原件及复印件（CSSCI及以上论文，须有检索报告）、学院或学校研究生院开具的导师证明、诚信承诺书、应届生承诺书及其他相关纸质材料，须按照顺序排列好，通过顺丰快递的方式邮寄到安徽大学社会与政治学院研究生教学办公室，地址：安徽省合肥市经开区九龙路111号安徽大学磬苑校区社科楼B401社会与政治学院研究生教学办公室，联系人：陈老师，电话：0551-62950340。</w:t>
      </w:r>
    </w:p>
    <w:p>
      <w:pPr>
        <w:keepNext w:val="0"/>
        <w:keepLines w:val="0"/>
        <w:pageBreakBefore w:val="0"/>
        <w:kinsoku/>
        <w:wordWrap/>
        <w:overflowPunct/>
        <w:topLinePunct w:val="0"/>
        <w:autoSpaceDE/>
        <w:autoSpaceDN/>
        <w:bidi w:val="0"/>
        <w:adjustRightInd w:val="0"/>
        <w:snapToGrid w:val="0"/>
        <w:spacing w:line="44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4.材料审核。</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rPr>
        <w:t>由学院组织人员进行初审，主要审查材料是否齐全、是否符合报名条件以及材料是否真实等。之后由学院组织专家对申请人的材料进行审核，确认复试资格。</w:t>
      </w:r>
      <w:r>
        <w:rPr>
          <w:rFonts w:hint="eastAsia" w:ascii="仿宋" w:hAnsi="仿宋" w:eastAsia="仿宋" w:cs="仿宋"/>
          <w:b/>
          <w:bCs/>
          <w:color w:val="auto"/>
          <w:sz w:val="32"/>
          <w:szCs w:val="32"/>
        </w:rPr>
        <w:t>具体的复试名单届时请关注学院官网通知。</w:t>
      </w:r>
    </w:p>
    <w:p>
      <w:pPr>
        <w:keepNext w:val="0"/>
        <w:keepLines w:val="0"/>
        <w:pageBreakBefore w:val="0"/>
        <w:kinsoku/>
        <w:wordWrap/>
        <w:overflowPunct/>
        <w:topLinePunct w:val="0"/>
        <w:autoSpaceDE/>
        <w:autoSpaceDN/>
        <w:bidi w:val="0"/>
        <w:adjustRightInd w:val="0"/>
        <w:snapToGrid w:val="0"/>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5.选拔考核。</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b/>
          <w:bCs/>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2024</w:t>
      </w:r>
      <w:r>
        <w:rPr>
          <w:rFonts w:hint="eastAsia" w:ascii="仿宋" w:hAnsi="仿宋" w:eastAsia="仿宋" w:cs="仿宋"/>
          <w:color w:val="auto"/>
          <w:sz w:val="32"/>
          <w:szCs w:val="32"/>
        </w:rPr>
        <w:t>年硕博连读和申请审核制博士生由选拔考核小组负责考核。</w:t>
      </w:r>
      <w:r>
        <w:rPr>
          <w:rFonts w:hint="eastAsia" w:ascii="仿宋" w:hAnsi="仿宋" w:eastAsia="仿宋" w:cs="仿宋"/>
          <w:b/>
          <w:bCs/>
          <w:color w:val="auto"/>
          <w:sz w:val="32"/>
          <w:szCs w:val="32"/>
        </w:rPr>
        <w:t>考核的具体要求届时请关注学院官网通知。</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440" w:lineRule="exact"/>
        <w:ind w:firstLine="640"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考核选拔总成绩满分100分，由笔试成绩、面试成绩相加。其中，笔试成绩占</w:t>
      </w:r>
      <w:r>
        <w:rPr>
          <w:rFonts w:hint="eastAsia" w:ascii="仿宋" w:hAnsi="仿宋" w:eastAsia="仿宋" w:cs="仿宋"/>
          <w:color w:val="auto"/>
          <w:kern w:val="2"/>
          <w:sz w:val="32"/>
          <w:szCs w:val="32"/>
          <w:lang w:val="en-US" w:eastAsia="zh-CN"/>
        </w:rPr>
        <w:t>4</w:t>
      </w:r>
      <w:r>
        <w:rPr>
          <w:rFonts w:hint="eastAsia" w:ascii="仿宋" w:hAnsi="仿宋" w:eastAsia="仿宋" w:cs="仿宋"/>
          <w:color w:val="auto"/>
          <w:kern w:val="2"/>
          <w:sz w:val="32"/>
          <w:szCs w:val="32"/>
        </w:rPr>
        <w:t>0%，面试成绩占</w:t>
      </w:r>
      <w:r>
        <w:rPr>
          <w:rFonts w:hint="eastAsia" w:ascii="仿宋" w:hAnsi="仿宋" w:eastAsia="仿宋" w:cs="仿宋"/>
          <w:color w:val="auto"/>
          <w:kern w:val="2"/>
          <w:sz w:val="32"/>
          <w:szCs w:val="32"/>
          <w:lang w:val="en-US" w:eastAsia="zh-CN"/>
        </w:rPr>
        <w:t>6</w:t>
      </w:r>
      <w:r>
        <w:rPr>
          <w:rFonts w:hint="eastAsia" w:ascii="仿宋" w:hAnsi="仿宋" w:eastAsia="仿宋" w:cs="仿宋"/>
          <w:color w:val="auto"/>
          <w:kern w:val="2"/>
          <w:sz w:val="32"/>
          <w:szCs w:val="32"/>
        </w:rPr>
        <w:t>0%，即申请人成绩=笔试成绩×</w:t>
      </w:r>
      <w:r>
        <w:rPr>
          <w:rFonts w:hint="eastAsia" w:ascii="仿宋" w:hAnsi="仿宋" w:eastAsia="仿宋" w:cs="仿宋"/>
          <w:color w:val="auto"/>
          <w:kern w:val="2"/>
          <w:sz w:val="32"/>
          <w:szCs w:val="32"/>
          <w:lang w:val="en-US" w:eastAsia="zh-CN"/>
        </w:rPr>
        <w:t>4</w:t>
      </w:r>
      <w:r>
        <w:rPr>
          <w:rFonts w:hint="eastAsia" w:ascii="仿宋" w:hAnsi="仿宋" w:eastAsia="仿宋" w:cs="仿宋"/>
          <w:color w:val="auto"/>
          <w:kern w:val="2"/>
          <w:sz w:val="32"/>
          <w:szCs w:val="32"/>
        </w:rPr>
        <w:t>0% +面试成绩×</w:t>
      </w:r>
      <w:r>
        <w:rPr>
          <w:rFonts w:hint="eastAsia" w:ascii="仿宋" w:hAnsi="仿宋" w:eastAsia="仿宋" w:cs="仿宋"/>
          <w:color w:val="auto"/>
          <w:kern w:val="2"/>
          <w:sz w:val="32"/>
          <w:szCs w:val="32"/>
          <w:lang w:val="en-US" w:eastAsia="zh-CN"/>
        </w:rPr>
        <w:t>6</w:t>
      </w:r>
      <w:r>
        <w:rPr>
          <w:rFonts w:hint="eastAsia" w:ascii="仿宋" w:hAnsi="仿宋" w:eastAsia="仿宋" w:cs="仿宋"/>
          <w:color w:val="auto"/>
          <w:kern w:val="2"/>
          <w:sz w:val="32"/>
          <w:szCs w:val="32"/>
        </w:rPr>
        <w:t>0%。</w:t>
      </w:r>
    </w:p>
    <w:p>
      <w:pPr>
        <w:keepNext w:val="0"/>
        <w:keepLines w:val="0"/>
        <w:pageBreakBefore w:val="0"/>
        <w:numPr>
          <w:ilvl w:val="0"/>
          <w:numId w:val="3"/>
        </w:numPr>
        <w:tabs>
          <w:tab w:val="left" w:pos="826"/>
        </w:tabs>
        <w:kinsoku/>
        <w:wordWrap/>
        <w:overflowPunct/>
        <w:topLinePunct w:val="0"/>
        <w:autoSpaceDE/>
        <w:autoSpaceDN/>
        <w:bidi w:val="0"/>
        <w:adjustRightInd w:val="0"/>
        <w:snapToGrid w:val="0"/>
        <w:spacing w:line="440" w:lineRule="exact"/>
        <w:ind w:firstLine="422"/>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笔试成绩：笔试成绩满分100分，时间为二个小时。笔试科目为社会学一级学科综合知识。笔试低于60分不予以录取。</w:t>
      </w:r>
    </w:p>
    <w:p>
      <w:pPr>
        <w:keepNext w:val="0"/>
        <w:keepLines w:val="0"/>
        <w:pageBreakBefore w:val="0"/>
        <w:numPr>
          <w:ilvl w:val="0"/>
          <w:numId w:val="3"/>
        </w:numPr>
        <w:tabs>
          <w:tab w:val="left" w:pos="826"/>
        </w:tabs>
        <w:kinsoku/>
        <w:wordWrap/>
        <w:overflowPunct/>
        <w:topLinePunct w:val="0"/>
        <w:autoSpaceDE/>
        <w:autoSpaceDN/>
        <w:bidi w:val="0"/>
        <w:adjustRightInd w:val="0"/>
        <w:snapToGrid w:val="0"/>
        <w:spacing w:line="440" w:lineRule="exact"/>
        <w:ind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面试成绩：选拔考核小组对申请人包括政治表现、业务能力、科研潜能与综合素质、外语水平等在内的各项内容进行全面考核实名打分，采用百分制，按照去掉一个最高分与一个最低分之后的平均分为该申请人的面试得分。其中，外语水平占比10%，政治表现与综合素质占比40%，业务能力与科研潜能占比50%。面试低于60分者不予以录取。</w:t>
      </w:r>
    </w:p>
    <w:p>
      <w:pPr>
        <w:keepNext w:val="0"/>
        <w:keepLines w:val="0"/>
        <w:pageBreakBefore w:val="0"/>
        <w:tabs>
          <w:tab w:val="left" w:pos="826"/>
        </w:tabs>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面试全程录音录像，并安排专人做好面试记录。</w:t>
      </w:r>
    </w:p>
    <w:p>
      <w:pPr>
        <w:keepNext w:val="0"/>
        <w:keepLines w:val="0"/>
        <w:pageBreakBefore w:val="0"/>
        <w:tabs>
          <w:tab w:val="left" w:pos="826"/>
        </w:tabs>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面试过程中，考生须进行个人介绍，具体内容包括但不限于个人概况、学术简历、科研成果、学术获奖、课题参加、田野调查以及硕士论文或代表作的主要观点和创新点，博士阶段研究计划等。</w:t>
      </w:r>
    </w:p>
    <w:p>
      <w:pPr>
        <w:keepNext w:val="0"/>
        <w:keepLines w:val="0"/>
        <w:pageBreakBefore w:val="0"/>
        <w:numPr>
          <w:ilvl w:val="0"/>
          <w:numId w:val="3"/>
        </w:numPr>
        <w:tabs>
          <w:tab w:val="left" w:pos="826"/>
        </w:tabs>
        <w:kinsoku/>
        <w:wordWrap/>
        <w:overflowPunct/>
        <w:topLinePunct w:val="0"/>
        <w:autoSpaceDE/>
        <w:autoSpaceDN/>
        <w:bidi w:val="0"/>
        <w:adjustRightInd w:val="0"/>
        <w:snapToGrid w:val="0"/>
        <w:spacing w:line="440" w:lineRule="exact"/>
        <w:ind w:firstLine="42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报考同一个一级学科的考生按成绩从高分到低分排序确定获得录取资格的申请人名单，不区分报考导师</w:t>
      </w:r>
      <w:r>
        <w:rPr>
          <w:rFonts w:hint="eastAsia" w:ascii="仿宋" w:hAnsi="仿宋" w:eastAsia="仿宋" w:cs="仿宋"/>
          <w:color w:val="auto"/>
          <w:sz w:val="32"/>
          <w:szCs w:val="32"/>
          <w:shd w:val="clear" w:color="auto" w:fill="FFFFFF"/>
        </w:rPr>
        <w:t>。</w:t>
      </w:r>
    </w:p>
    <w:p>
      <w:pPr>
        <w:keepNext w:val="0"/>
        <w:keepLines w:val="0"/>
        <w:pageBreakBefore w:val="0"/>
        <w:tabs>
          <w:tab w:val="left" w:pos="826"/>
        </w:tabs>
        <w:kinsoku/>
        <w:wordWrap/>
        <w:overflowPunct/>
        <w:topLinePunct w:val="0"/>
        <w:autoSpaceDE/>
        <w:autoSpaceDN/>
        <w:bidi w:val="0"/>
        <w:adjustRightInd w:val="0"/>
        <w:snapToGrid w:val="0"/>
        <w:spacing w:line="44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w:t>
      </w:r>
      <w:r>
        <w:rPr>
          <w:rFonts w:hint="eastAsia" w:ascii="仿宋" w:hAnsi="仿宋" w:eastAsia="仿宋" w:cs="仿宋"/>
          <w:b/>
          <w:bCs/>
          <w:color w:val="auto"/>
          <w:sz w:val="32"/>
          <w:szCs w:val="32"/>
          <w:shd w:val="clear" w:color="auto" w:fill="FFFFFF"/>
        </w:rPr>
        <w:t xml:space="preserve">  </w:t>
      </w:r>
      <w:r>
        <w:rPr>
          <w:rFonts w:hint="eastAsia" w:ascii="仿宋" w:hAnsi="仿宋" w:eastAsia="仿宋" w:cs="仿宋"/>
          <w:color w:val="auto"/>
          <w:sz w:val="32"/>
          <w:szCs w:val="32"/>
          <w:shd w:val="clear" w:color="auto" w:fill="FFFFFF"/>
        </w:rPr>
        <w:t>其中，报考招生计划单列的考生，只要达到录取资格，即可在单列名额内择优录取，不再参加所有考生的排序，没有被录取的其余考生也不再参与非单列招生计划的排序。</w:t>
      </w:r>
    </w:p>
    <w:p>
      <w:pPr>
        <w:keepNext w:val="0"/>
        <w:keepLines w:val="0"/>
        <w:pageBreakBefore w:val="0"/>
        <w:kinsoku/>
        <w:wordWrap/>
        <w:overflowPunct/>
        <w:topLinePunct w:val="0"/>
        <w:autoSpaceDE/>
        <w:autoSpaceDN/>
        <w:bidi w:val="0"/>
        <w:adjustRightInd w:val="0"/>
        <w:snapToGrid w:val="0"/>
        <w:spacing w:line="440" w:lineRule="exact"/>
        <w:ind w:firstLine="643"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6.</w:t>
      </w:r>
      <w:r>
        <w:rPr>
          <w:rFonts w:hint="eastAsia" w:ascii="仿宋" w:hAnsi="仿宋" w:eastAsia="仿宋" w:cs="仿宋"/>
          <w:color w:val="auto"/>
          <w:sz w:val="32"/>
          <w:szCs w:val="32"/>
        </w:rPr>
        <w:t>学院</w:t>
      </w:r>
      <w:r>
        <w:rPr>
          <w:rFonts w:hint="eastAsia" w:ascii="仿宋" w:hAnsi="仿宋" w:eastAsia="仿宋" w:cs="仿宋"/>
          <w:color w:val="auto"/>
          <w:sz w:val="32"/>
          <w:szCs w:val="32"/>
          <w:lang w:val="en-US" w:eastAsia="zh-CN"/>
        </w:rPr>
        <w:t>将参加本年度</w:t>
      </w:r>
      <w:r>
        <w:rPr>
          <w:rFonts w:hint="eastAsia" w:ascii="仿宋" w:hAnsi="仿宋" w:eastAsia="仿宋" w:cs="仿宋"/>
          <w:color w:val="auto"/>
          <w:sz w:val="32"/>
          <w:szCs w:val="32"/>
        </w:rPr>
        <w:t>硕博连读和申请审核制博士生</w:t>
      </w:r>
      <w:r>
        <w:rPr>
          <w:rFonts w:hint="eastAsia" w:ascii="仿宋" w:hAnsi="仿宋" w:eastAsia="仿宋" w:cs="仿宋"/>
          <w:color w:val="auto"/>
          <w:sz w:val="32"/>
          <w:szCs w:val="32"/>
          <w:lang w:val="en-US" w:eastAsia="zh-CN"/>
        </w:rPr>
        <w:t>选拔的考生成绩在学院官</w:t>
      </w:r>
      <w:r>
        <w:rPr>
          <w:rFonts w:hint="eastAsia" w:ascii="仿宋" w:hAnsi="仿宋" w:eastAsia="仿宋" w:cs="仿宋"/>
          <w:color w:val="auto"/>
          <w:sz w:val="32"/>
          <w:szCs w:val="32"/>
        </w:rPr>
        <w:t>网公示5个工作日</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44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7.</w:t>
      </w:r>
      <w:r>
        <w:rPr>
          <w:rFonts w:hint="eastAsia" w:ascii="仿宋" w:hAnsi="仿宋" w:eastAsia="仿宋" w:cs="仿宋"/>
          <w:color w:val="auto"/>
          <w:sz w:val="32"/>
          <w:szCs w:val="32"/>
        </w:rPr>
        <w:t>公示结束后，把拟录取的硕博连读和申请审核制博士生名单上报研究生院。</w:t>
      </w:r>
      <w:bookmarkStart w:id="0" w:name="_GoBack"/>
      <w:bookmarkEnd w:id="0"/>
    </w:p>
    <w:p>
      <w:pPr>
        <w:keepNext w:val="0"/>
        <w:keepLines w:val="0"/>
        <w:pageBreakBefore w:val="0"/>
        <w:kinsoku/>
        <w:wordWrap/>
        <w:overflowPunct/>
        <w:topLinePunct w:val="0"/>
        <w:autoSpaceDE/>
        <w:autoSpaceDN/>
        <w:bidi w:val="0"/>
        <w:adjustRightInd w:val="0"/>
        <w:snapToGrid w:val="0"/>
        <w:spacing w:line="440" w:lineRule="exact"/>
        <w:ind w:firstLine="643"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第六条 其他事宜</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1.录取为硕博连读的博士研究生，不做硕士学位论文，不授予硕士学位。</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2.录取为硕博连读博士生的，原则上不再批准转回硕士培养。确因特殊原因申请转为硕士培养的，自申请批准之日起，半年后方可公开进行硕士学位论文答辩。</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3.硕博连读博士生学位论文未达到博士学位的要求但符合硕士学位的水平，可申请硕士学位。通过硕士论文答辩后，颁发硕士研究生毕业证书，授予硕士学位。</w:t>
      </w:r>
    </w:p>
    <w:p>
      <w:pPr>
        <w:keepNext w:val="0"/>
        <w:keepLines w:val="0"/>
        <w:pageBreakBefore w:val="0"/>
        <w:tabs>
          <w:tab w:val="left" w:pos="960"/>
        </w:tabs>
        <w:kinsoku/>
        <w:wordWrap/>
        <w:overflowPunct/>
        <w:topLinePunct w:val="0"/>
        <w:autoSpaceDE/>
        <w:autoSpaceDN/>
        <w:bidi w:val="0"/>
        <w:adjustRightInd w:val="0"/>
        <w:snapToGrid w:val="0"/>
        <w:spacing w:line="440" w:lineRule="exact"/>
        <w:ind w:firstLine="643"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第七条 未尽事宜的解释</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本办法未尽事宜，由社会与政治学院硕博连读和申请审核制博士生选拔考核领导小组负责解释。</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val="0"/>
        <w:snapToGrid w:val="0"/>
        <w:spacing w:line="440" w:lineRule="exact"/>
        <w:ind w:right="105"/>
        <w:jc w:val="righ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安徽大学社会与政治学院</w:t>
      </w:r>
    </w:p>
    <w:p>
      <w:pPr>
        <w:keepNext w:val="0"/>
        <w:keepLines w:val="0"/>
        <w:pageBreakBefore w:val="0"/>
        <w:kinsoku/>
        <w:wordWrap/>
        <w:overflowPunct/>
        <w:topLinePunct w:val="0"/>
        <w:autoSpaceDE/>
        <w:autoSpaceDN/>
        <w:bidi w:val="0"/>
        <w:adjustRightInd w:val="0"/>
        <w:snapToGrid w:val="0"/>
        <w:spacing w:line="440" w:lineRule="exact"/>
        <w:ind w:right="420"/>
        <w:jc w:val="righ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202</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年12月</w:t>
      </w:r>
      <w:r>
        <w:rPr>
          <w:rFonts w:hint="eastAsia" w:ascii="仿宋" w:hAnsi="仿宋" w:eastAsia="仿宋" w:cs="仿宋"/>
          <w:color w:val="auto"/>
          <w:kern w:val="0"/>
          <w:sz w:val="32"/>
          <w:szCs w:val="32"/>
          <w:lang w:val="en-US" w:eastAsia="zh-CN"/>
        </w:rPr>
        <w:t>26</w:t>
      </w:r>
      <w:r>
        <w:rPr>
          <w:rFonts w:hint="eastAsia" w:ascii="仿宋" w:hAnsi="仿宋" w:eastAsia="仿宋" w:cs="仿宋"/>
          <w:color w:val="auto"/>
          <w:kern w:val="0"/>
          <w:sz w:val="32"/>
          <w:szCs w:val="32"/>
        </w:rPr>
        <w:t>日</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A66532"/>
    <w:multiLevelType w:val="singleLevel"/>
    <w:tmpl w:val="49A66532"/>
    <w:lvl w:ilvl="0" w:tentative="0">
      <w:start w:val="2"/>
      <w:numFmt w:val="decimal"/>
      <w:suff w:val="nothing"/>
      <w:lvlText w:val="（%1）"/>
      <w:lvlJc w:val="left"/>
      <w:pPr>
        <w:ind w:left="-2"/>
      </w:pPr>
      <w:rPr>
        <w:rFonts w:hint="default"/>
        <w:b w:val="0"/>
        <w:bCs w:val="0"/>
      </w:rPr>
    </w:lvl>
  </w:abstractNum>
  <w:abstractNum w:abstractNumId="1">
    <w:nsid w:val="4EC7876C"/>
    <w:multiLevelType w:val="singleLevel"/>
    <w:tmpl w:val="4EC7876C"/>
    <w:lvl w:ilvl="0" w:tentative="0">
      <w:start w:val="1"/>
      <w:numFmt w:val="decimalEnclosedCircleChinese"/>
      <w:suff w:val="nothing"/>
      <w:lvlText w:val="%1　"/>
      <w:lvlJc w:val="left"/>
      <w:pPr>
        <w:ind w:left="0" w:firstLine="400"/>
      </w:pPr>
      <w:rPr>
        <w:rFonts w:hint="eastAsia"/>
      </w:rPr>
    </w:lvl>
  </w:abstractNum>
  <w:abstractNum w:abstractNumId="2">
    <w:nsid w:val="74B406C6"/>
    <w:multiLevelType w:val="singleLevel"/>
    <w:tmpl w:val="74B406C6"/>
    <w:lvl w:ilvl="0" w:tentative="0">
      <w:start w:val="1"/>
      <w:numFmt w:val="decimalEnclosedCircleChinese"/>
      <w:suff w:val="nothing"/>
      <w:lvlText w:val="%1　"/>
      <w:lvlJc w:val="left"/>
      <w:pPr>
        <w:ind w:left="0" w:firstLine="400"/>
      </w:pPr>
      <w:rPr>
        <w:rFonts w:hint="eastAsia"/>
        <w:color w:val="000000" w:themeColor="text1"/>
        <w14:textFill>
          <w14:solidFill>
            <w14:schemeClr w14:val="tx1"/>
          </w14:solidFill>
        </w14:textFil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MGJlZGZmN2IyNzJhZjM0YWVhZWZlNDgyZjMwYzgifQ=="/>
  </w:docVars>
  <w:rsids>
    <w:rsidRoot w:val="00FF2727"/>
    <w:rsid w:val="000009B3"/>
    <w:rsid w:val="00015EC5"/>
    <w:rsid w:val="00044E3B"/>
    <w:rsid w:val="00050779"/>
    <w:rsid w:val="00064110"/>
    <w:rsid w:val="00077139"/>
    <w:rsid w:val="00081A61"/>
    <w:rsid w:val="000B7CD4"/>
    <w:rsid w:val="000C3C2C"/>
    <w:rsid w:val="000F6260"/>
    <w:rsid w:val="0012219E"/>
    <w:rsid w:val="00164D2D"/>
    <w:rsid w:val="001B4930"/>
    <w:rsid w:val="001C0D2E"/>
    <w:rsid w:val="002145F8"/>
    <w:rsid w:val="002C0567"/>
    <w:rsid w:val="002D2E8A"/>
    <w:rsid w:val="002F2BFC"/>
    <w:rsid w:val="00336133"/>
    <w:rsid w:val="00352E70"/>
    <w:rsid w:val="00386E2F"/>
    <w:rsid w:val="00427AAF"/>
    <w:rsid w:val="0046767C"/>
    <w:rsid w:val="004C2CEF"/>
    <w:rsid w:val="005549F5"/>
    <w:rsid w:val="005A0027"/>
    <w:rsid w:val="005F4953"/>
    <w:rsid w:val="006503AE"/>
    <w:rsid w:val="00657E8B"/>
    <w:rsid w:val="00672E1F"/>
    <w:rsid w:val="00691D0A"/>
    <w:rsid w:val="006A3B07"/>
    <w:rsid w:val="006B5A37"/>
    <w:rsid w:val="006B7863"/>
    <w:rsid w:val="006C7544"/>
    <w:rsid w:val="007650EA"/>
    <w:rsid w:val="007932F4"/>
    <w:rsid w:val="007B1EE0"/>
    <w:rsid w:val="00844F3A"/>
    <w:rsid w:val="008D273C"/>
    <w:rsid w:val="008F0420"/>
    <w:rsid w:val="00900CB3"/>
    <w:rsid w:val="00901757"/>
    <w:rsid w:val="0099595E"/>
    <w:rsid w:val="009E452C"/>
    <w:rsid w:val="00A811BB"/>
    <w:rsid w:val="00AF7DD7"/>
    <w:rsid w:val="00B16623"/>
    <w:rsid w:val="00B80BBE"/>
    <w:rsid w:val="00B87C33"/>
    <w:rsid w:val="00B97798"/>
    <w:rsid w:val="00BC4325"/>
    <w:rsid w:val="00BD70A7"/>
    <w:rsid w:val="00BE2045"/>
    <w:rsid w:val="00CF2CB6"/>
    <w:rsid w:val="00D14831"/>
    <w:rsid w:val="00D41BBB"/>
    <w:rsid w:val="00DC1F56"/>
    <w:rsid w:val="00E311E7"/>
    <w:rsid w:val="00EC1425"/>
    <w:rsid w:val="00ED1881"/>
    <w:rsid w:val="00F12BD6"/>
    <w:rsid w:val="00F17AC7"/>
    <w:rsid w:val="00F22245"/>
    <w:rsid w:val="00F55CFC"/>
    <w:rsid w:val="00FB6A8E"/>
    <w:rsid w:val="00FF2727"/>
    <w:rsid w:val="015A5588"/>
    <w:rsid w:val="022F16AC"/>
    <w:rsid w:val="03C1752D"/>
    <w:rsid w:val="046A4F93"/>
    <w:rsid w:val="04AD253D"/>
    <w:rsid w:val="058A5E9A"/>
    <w:rsid w:val="06473D8B"/>
    <w:rsid w:val="06C51AAE"/>
    <w:rsid w:val="08A83860"/>
    <w:rsid w:val="08F301FA"/>
    <w:rsid w:val="08F67114"/>
    <w:rsid w:val="09A82D92"/>
    <w:rsid w:val="0B1A7CC0"/>
    <w:rsid w:val="0E541224"/>
    <w:rsid w:val="0EAC50D3"/>
    <w:rsid w:val="105B6508"/>
    <w:rsid w:val="106E5AEF"/>
    <w:rsid w:val="12282CC2"/>
    <w:rsid w:val="13A97696"/>
    <w:rsid w:val="1494223C"/>
    <w:rsid w:val="14954D41"/>
    <w:rsid w:val="158703EF"/>
    <w:rsid w:val="15E518D3"/>
    <w:rsid w:val="15EE7D7F"/>
    <w:rsid w:val="165878EE"/>
    <w:rsid w:val="16E55B7E"/>
    <w:rsid w:val="171C5316"/>
    <w:rsid w:val="17A821AF"/>
    <w:rsid w:val="17D163AF"/>
    <w:rsid w:val="18B4680A"/>
    <w:rsid w:val="19306900"/>
    <w:rsid w:val="1945415A"/>
    <w:rsid w:val="19EA1D8E"/>
    <w:rsid w:val="1A480367"/>
    <w:rsid w:val="1B5F639B"/>
    <w:rsid w:val="1BE12766"/>
    <w:rsid w:val="1BE22134"/>
    <w:rsid w:val="1C3E70A5"/>
    <w:rsid w:val="1D7D42D7"/>
    <w:rsid w:val="1DB23D88"/>
    <w:rsid w:val="1E3771B5"/>
    <w:rsid w:val="21326D94"/>
    <w:rsid w:val="21CF4F08"/>
    <w:rsid w:val="2247509F"/>
    <w:rsid w:val="227F659B"/>
    <w:rsid w:val="23854CC0"/>
    <w:rsid w:val="23C657AB"/>
    <w:rsid w:val="246758CC"/>
    <w:rsid w:val="24885842"/>
    <w:rsid w:val="2531733F"/>
    <w:rsid w:val="25A832C3"/>
    <w:rsid w:val="274C0DA9"/>
    <w:rsid w:val="2C0B6AFC"/>
    <w:rsid w:val="2CEF46B1"/>
    <w:rsid w:val="2EDF0D8C"/>
    <w:rsid w:val="2F9B0116"/>
    <w:rsid w:val="2FBA3766"/>
    <w:rsid w:val="307F7B86"/>
    <w:rsid w:val="3112109E"/>
    <w:rsid w:val="31894AF3"/>
    <w:rsid w:val="31AA64C5"/>
    <w:rsid w:val="33802506"/>
    <w:rsid w:val="33B0773A"/>
    <w:rsid w:val="3460764C"/>
    <w:rsid w:val="354B47CE"/>
    <w:rsid w:val="35E23DBC"/>
    <w:rsid w:val="366F0610"/>
    <w:rsid w:val="37030760"/>
    <w:rsid w:val="38D445C9"/>
    <w:rsid w:val="39037B98"/>
    <w:rsid w:val="393B0DEE"/>
    <w:rsid w:val="39BF365D"/>
    <w:rsid w:val="3A6D537A"/>
    <w:rsid w:val="3B365BA1"/>
    <w:rsid w:val="3B44206B"/>
    <w:rsid w:val="3B8E4612"/>
    <w:rsid w:val="3D962E43"/>
    <w:rsid w:val="3FDE7C9B"/>
    <w:rsid w:val="41607E03"/>
    <w:rsid w:val="41C537DA"/>
    <w:rsid w:val="424D0C18"/>
    <w:rsid w:val="427F40BB"/>
    <w:rsid w:val="42DB6604"/>
    <w:rsid w:val="42DC4809"/>
    <w:rsid w:val="442C18EF"/>
    <w:rsid w:val="44DD11E7"/>
    <w:rsid w:val="45967527"/>
    <w:rsid w:val="462F1B6A"/>
    <w:rsid w:val="46D639B3"/>
    <w:rsid w:val="4AE146E0"/>
    <w:rsid w:val="4B4A71EB"/>
    <w:rsid w:val="4CAA50FA"/>
    <w:rsid w:val="4D127EED"/>
    <w:rsid w:val="4D3C2671"/>
    <w:rsid w:val="4E494F92"/>
    <w:rsid w:val="4FCB3FB2"/>
    <w:rsid w:val="5131733E"/>
    <w:rsid w:val="525C2C68"/>
    <w:rsid w:val="5508562D"/>
    <w:rsid w:val="55195ED1"/>
    <w:rsid w:val="55427799"/>
    <w:rsid w:val="559041E7"/>
    <w:rsid w:val="559D089E"/>
    <w:rsid w:val="55DB3175"/>
    <w:rsid w:val="57844BCE"/>
    <w:rsid w:val="578D0B02"/>
    <w:rsid w:val="57DF5A12"/>
    <w:rsid w:val="590721C3"/>
    <w:rsid w:val="5A5621EA"/>
    <w:rsid w:val="5B1C197C"/>
    <w:rsid w:val="5CC73E03"/>
    <w:rsid w:val="5D8A1A3F"/>
    <w:rsid w:val="5DF94AE0"/>
    <w:rsid w:val="5E3A355D"/>
    <w:rsid w:val="5F323A48"/>
    <w:rsid w:val="5FC03B07"/>
    <w:rsid w:val="60175ECA"/>
    <w:rsid w:val="602675F1"/>
    <w:rsid w:val="60E81423"/>
    <w:rsid w:val="615733B4"/>
    <w:rsid w:val="652C6F14"/>
    <w:rsid w:val="660B77E0"/>
    <w:rsid w:val="66915915"/>
    <w:rsid w:val="66C4107A"/>
    <w:rsid w:val="671075E5"/>
    <w:rsid w:val="67AF2952"/>
    <w:rsid w:val="67B6134C"/>
    <w:rsid w:val="68DA4E29"/>
    <w:rsid w:val="699F653B"/>
    <w:rsid w:val="69CC7521"/>
    <w:rsid w:val="69DF734D"/>
    <w:rsid w:val="6A236F84"/>
    <w:rsid w:val="6A3209D6"/>
    <w:rsid w:val="6BE11FFB"/>
    <w:rsid w:val="6C111ED1"/>
    <w:rsid w:val="6C305B70"/>
    <w:rsid w:val="6CBF6EF4"/>
    <w:rsid w:val="6E392421"/>
    <w:rsid w:val="703F4249"/>
    <w:rsid w:val="706D434C"/>
    <w:rsid w:val="718766AC"/>
    <w:rsid w:val="71AB1AD5"/>
    <w:rsid w:val="728C3949"/>
    <w:rsid w:val="72F133CC"/>
    <w:rsid w:val="72F32956"/>
    <w:rsid w:val="739F50C5"/>
    <w:rsid w:val="73E86D31"/>
    <w:rsid w:val="74851322"/>
    <w:rsid w:val="75511246"/>
    <w:rsid w:val="76713FAE"/>
    <w:rsid w:val="79FF15BE"/>
    <w:rsid w:val="7A380FA3"/>
    <w:rsid w:val="7B227444"/>
    <w:rsid w:val="7B2F19D1"/>
    <w:rsid w:val="7B89638E"/>
    <w:rsid w:val="7C381F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 w:type="character" w:customStyle="1" w:styleId="8">
    <w:name w:val="页脚 Char"/>
    <w:basedOn w:val="6"/>
    <w:link w:val="2"/>
    <w:autoRedefine/>
    <w:qFormat/>
    <w:uiPriority w:val="0"/>
    <w:rPr>
      <w:rFonts w:ascii="Times New Roman" w:hAnsi="Times New Roman" w:eastAsia="宋体" w:cs="Times New Roman"/>
      <w:sz w:val="18"/>
      <w:szCs w:val="18"/>
    </w:rPr>
  </w:style>
  <w:style w:type="paragraph" w:customStyle="1" w:styleId="9">
    <w:name w:val="页眉1"/>
    <w:basedOn w:val="1"/>
    <w:next w:val="3"/>
    <w:link w:val="10"/>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customStyle="1" w:styleId="10">
    <w:name w:val="页眉 Char1"/>
    <w:basedOn w:val="6"/>
    <w:link w:val="9"/>
    <w:autoRedefine/>
    <w:semiHidden/>
    <w:qFormat/>
    <w:uiPriority w:val="99"/>
    <w:rPr>
      <w:rFonts w:ascii="Times New Roman" w:hAnsi="Times New Roman" w:eastAsia="宋体" w:cs="Times New Roman"/>
      <w:sz w:val="18"/>
      <w:szCs w:val="18"/>
    </w:rPr>
  </w:style>
  <w:style w:type="character" w:customStyle="1" w:styleId="11">
    <w:name w:val="页眉 Char"/>
    <w:basedOn w:val="6"/>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5</Pages>
  <Words>3759</Words>
  <Characters>3902</Characters>
  <Lines>29</Lines>
  <Paragraphs>8</Paragraphs>
  <TotalTime>1</TotalTime>
  <ScaleCrop>false</ScaleCrop>
  <LinksUpToDate>false</LinksUpToDate>
  <CharactersWithSpaces>3920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2019-10-04T03:15:00Z</dcterms:created>
  <dc:creator>xb21cn</dc:creator>
  <cp:lastModifiedBy>:)</cp:lastModifiedBy>
  <cp:lastPrinted>2023-12-28T01:43:00Z</cp:lastPrinted>
  <dcterms:modified xsi:type="dcterms:W3CDTF">2023-12-29T06:50:34Z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F7927F95CCB54A3FAF8F219E1D589C61</vt:lpwstr>
  </property>
</Properties>
</file>