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9423" w14:textId="77777777" w:rsidR="00AF7DAC" w:rsidRPr="00AF7DAC" w:rsidRDefault="00AF7DAC" w:rsidP="00AF7DAC">
      <w:pPr>
        <w:jc w:val="center"/>
        <w:rPr>
          <w:b/>
          <w:sz w:val="36"/>
          <w:szCs w:val="36"/>
        </w:rPr>
      </w:pPr>
      <w:r w:rsidRPr="00AF7DAC">
        <w:rPr>
          <w:b/>
          <w:sz w:val="36"/>
          <w:szCs w:val="36"/>
        </w:rPr>
        <w:t>2025</w:t>
      </w:r>
      <w:r w:rsidRPr="00AF7DAC">
        <w:rPr>
          <w:rFonts w:hint="eastAsia"/>
          <w:b/>
          <w:sz w:val="36"/>
          <w:szCs w:val="36"/>
        </w:rPr>
        <w:t>年重庆交通大学土木水利博士研究生入学考核</w:t>
      </w:r>
    </w:p>
    <w:p w14:paraId="38D07799" w14:textId="1648FD27" w:rsidR="00846BD5" w:rsidRPr="00395AC0" w:rsidRDefault="00AF7DAC" w:rsidP="00AF7DAC">
      <w:pPr>
        <w:jc w:val="center"/>
        <w:rPr>
          <w:b/>
          <w:sz w:val="36"/>
          <w:szCs w:val="36"/>
        </w:rPr>
      </w:pPr>
      <w:r w:rsidRPr="00AF7DAC">
        <w:rPr>
          <w:rFonts w:hint="eastAsia"/>
          <w:b/>
          <w:sz w:val="36"/>
          <w:szCs w:val="36"/>
        </w:rPr>
        <w:t>同等学力加试科目</w:t>
      </w:r>
      <w:r w:rsidR="00846BD5" w:rsidRPr="00395AC0">
        <w:rPr>
          <w:rFonts w:ascii="宋体" w:hAnsi="宋体" w:hint="eastAsia"/>
          <w:b/>
          <w:sz w:val="36"/>
          <w:szCs w:val="36"/>
        </w:rPr>
        <w:t>《高等水工结构》</w:t>
      </w:r>
      <w:r w:rsidR="00846BD5" w:rsidRPr="00395AC0">
        <w:rPr>
          <w:rFonts w:hint="eastAsia"/>
          <w:b/>
          <w:sz w:val="36"/>
          <w:szCs w:val="36"/>
        </w:rPr>
        <w:t>考试大纲</w:t>
      </w:r>
    </w:p>
    <w:p w14:paraId="3088F995" w14:textId="77777777" w:rsidR="00846BD5" w:rsidRPr="00395AC0" w:rsidRDefault="00846BD5" w:rsidP="00846BD5">
      <w:pPr>
        <w:spacing w:line="360" w:lineRule="auto"/>
        <w:jc w:val="center"/>
        <w:rPr>
          <w:szCs w:val="21"/>
        </w:rPr>
      </w:pPr>
    </w:p>
    <w:p w14:paraId="5C95AFC8" w14:textId="77777777" w:rsidR="00846BD5" w:rsidRPr="00395AC0" w:rsidRDefault="00846BD5" w:rsidP="00846BD5">
      <w:pPr>
        <w:numPr>
          <w:ilvl w:val="0"/>
          <w:numId w:val="1"/>
        </w:numPr>
        <w:adjustRightInd w:val="0"/>
        <w:snapToGrid w:val="0"/>
        <w:spacing w:beforeLines="50" w:before="156" w:line="300" w:lineRule="auto"/>
        <w:rPr>
          <w:sz w:val="28"/>
          <w:szCs w:val="28"/>
        </w:rPr>
      </w:pPr>
      <w:r w:rsidRPr="00395AC0">
        <w:rPr>
          <w:rFonts w:hint="eastAsia"/>
          <w:b/>
          <w:bCs/>
          <w:sz w:val="28"/>
          <w:szCs w:val="28"/>
        </w:rPr>
        <w:t>具体要求</w:t>
      </w:r>
    </w:p>
    <w:p w14:paraId="07467587" w14:textId="59918A9F" w:rsidR="00846BD5" w:rsidRPr="00395AC0" w:rsidRDefault="00846BD5" w:rsidP="00846BD5">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hint="eastAsia"/>
          <w:sz w:val="28"/>
          <w:szCs w:val="28"/>
        </w:rPr>
        <w:t>1、</w:t>
      </w:r>
      <w:r w:rsidR="00AA122F" w:rsidRPr="00395AC0">
        <w:rPr>
          <w:rFonts w:ascii="宋体" w:hAnsi="宋体" w:hint="eastAsia"/>
          <w:sz w:val="28"/>
          <w:szCs w:val="28"/>
        </w:rPr>
        <w:t>熟悉碾压混凝土坝的特点</w:t>
      </w:r>
      <w:r w:rsidRPr="00395AC0">
        <w:rPr>
          <w:rFonts w:ascii="宋体" w:hAnsi="宋体" w:hint="eastAsia"/>
          <w:sz w:val="28"/>
          <w:szCs w:val="28"/>
        </w:rPr>
        <w:t>，</w:t>
      </w:r>
      <w:r w:rsidR="00AA122F" w:rsidRPr="00395AC0">
        <w:rPr>
          <w:rFonts w:ascii="宋体" w:hAnsi="宋体" w:hint="eastAsia"/>
          <w:sz w:val="28"/>
          <w:szCs w:val="28"/>
        </w:rPr>
        <w:t>掌握碾压混凝土坝的温控防裂措施、控制层面抗剪强度的措施，能够区别碾压混凝土拱坝横缝、诱导缝、以及应力释放缝</w:t>
      </w:r>
      <w:r w:rsidRPr="00395AC0">
        <w:rPr>
          <w:rFonts w:ascii="宋体" w:hAnsi="宋体" w:hint="eastAsia"/>
          <w:sz w:val="28"/>
          <w:szCs w:val="28"/>
        </w:rPr>
        <w:t>。</w:t>
      </w:r>
    </w:p>
    <w:p w14:paraId="0436A88B" w14:textId="2B9AA095" w:rsidR="005E2445" w:rsidRPr="00395AC0" w:rsidRDefault="00846BD5" w:rsidP="00846BD5">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hint="eastAsia"/>
          <w:sz w:val="28"/>
          <w:szCs w:val="28"/>
        </w:rPr>
        <w:t>2、熟悉</w:t>
      </w:r>
      <w:r w:rsidR="00AA122F" w:rsidRPr="00395AC0">
        <w:rPr>
          <w:rFonts w:ascii="宋体" w:hAnsi="宋体" w:hint="eastAsia"/>
          <w:sz w:val="28"/>
          <w:szCs w:val="28"/>
        </w:rPr>
        <w:t>混凝土面板堆石坝的特点</w:t>
      </w:r>
      <w:r w:rsidR="005E2445" w:rsidRPr="00395AC0">
        <w:rPr>
          <w:rFonts w:ascii="宋体" w:hAnsi="宋体" w:hint="eastAsia"/>
          <w:sz w:val="28"/>
          <w:szCs w:val="28"/>
        </w:rPr>
        <w:t>、坝体分区的位置和作用，理解施工期堆石坝体表面过水度汛的优点及问题，掌握混凝土面板的防裂措施。</w:t>
      </w:r>
    </w:p>
    <w:p w14:paraId="07376E08" w14:textId="281C9217" w:rsidR="005E2445" w:rsidRPr="00395AC0" w:rsidRDefault="005E2445" w:rsidP="00846BD5">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hint="eastAsia"/>
          <w:sz w:val="28"/>
          <w:szCs w:val="28"/>
        </w:rPr>
        <w:t>3、理解</w:t>
      </w:r>
      <w:r w:rsidR="00AA122F" w:rsidRPr="00395AC0">
        <w:rPr>
          <w:rFonts w:ascii="宋体" w:hAnsi="宋体" w:hint="eastAsia"/>
          <w:sz w:val="28"/>
          <w:szCs w:val="28"/>
        </w:rPr>
        <w:t>深覆盖层上筑坝(混凝土面板堆石坝)的关键问题</w:t>
      </w:r>
      <w:r w:rsidRPr="00395AC0">
        <w:rPr>
          <w:rFonts w:ascii="宋体" w:hAnsi="宋体" w:hint="eastAsia"/>
          <w:sz w:val="28"/>
          <w:szCs w:val="28"/>
        </w:rPr>
        <w:t>，掌握深覆盖层上面板坝趾板与坝基混凝土防渗墙的连接形式及其特点。</w:t>
      </w:r>
    </w:p>
    <w:p w14:paraId="109BF7BA" w14:textId="6A2F295D" w:rsidR="005E2445" w:rsidRPr="00395AC0" w:rsidRDefault="00320D86" w:rsidP="00846BD5">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sz w:val="28"/>
          <w:szCs w:val="28"/>
        </w:rPr>
        <w:t>4</w:t>
      </w:r>
      <w:r w:rsidR="005E2445" w:rsidRPr="00395AC0">
        <w:rPr>
          <w:rFonts w:ascii="宋体" w:hAnsi="宋体" w:hint="eastAsia"/>
          <w:sz w:val="28"/>
          <w:szCs w:val="28"/>
        </w:rPr>
        <w:t>、掌握坝工应力的主要特点</w:t>
      </w:r>
      <w:r w:rsidRPr="00395AC0">
        <w:rPr>
          <w:rFonts w:ascii="宋体" w:hAnsi="宋体" w:hint="eastAsia"/>
          <w:sz w:val="28"/>
          <w:szCs w:val="28"/>
        </w:rPr>
        <w:t>、</w:t>
      </w:r>
      <w:r w:rsidR="005E2445" w:rsidRPr="00395AC0">
        <w:rPr>
          <w:rFonts w:ascii="宋体" w:hAnsi="宋体" w:hint="eastAsia"/>
          <w:sz w:val="28"/>
          <w:szCs w:val="28"/>
        </w:rPr>
        <w:t>坝工应力分析的主要内容</w:t>
      </w:r>
      <w:r w:rsidRPr="00395AC0">
        <w:rPr>
          <w:rFonts w:ascii="宋体" w:hAnsi="宋体" w:hint="eastAsia"/>
          <w:sz w:val="28"/>
          <w:szCs w:val="28"/>
        </w:rPr>
        <w:t>、重力坝的主要应力问题。</w:t>
      </w:r>
    </w:p>
    <w:p w14:paraId="5D9164D5" w14:textId="4137CA3E" w:rsidR="00846BD5" w:rsidRPr="00395AC0" w:rsidRDefault="005E2445" w:rsidP="00846BD5">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sz w:val="28"/>
          <w:szCs w:val="28"/>
        </w:rPr>
        <w:t>5</w:t>
      </w:r>
      <w:r w:rsidR="00846BD5" w:rsidRPr="00395AC0">
        <w:rPr>
          <w:rFonts w:ascii="宋体" w:hAnsi="宋体" w:hint="eastAsia"/>
          <w:sz w:val="28"/>
          <w:szCs w:val="28"/>
        </w:rPr>
        <w:t>、</w:t>
      </w:r>
      <w:r w:rsidR="00AA122F" w:rsidRPr="00395AC0">
        <w:rPr>
          <w:rFonts w:ascii="宋体" w:hAnsi="宋体" w:hint="eastAsia"/>
          <w:sz w:val="28"/>
          <w:szCs w:val="28"/>
        </w:rPr>
        <w:t>理解重力坝应力分析中材料力学法的力学模型基本假定及其局限性、土石坝应力分析及坝坡稳定分析中水荷载的考虑。</w:t>
      </w:r>
    </w:p>
    <w:p w14:paraId="2DD63864" w14:textId="0B781B44" w:rsidR="00846BD5" w:rsidRPr="00395AC0" w:rsidRDefault="005E2445" w:rsidP="00AA122F">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sz w:val="28"/>
          <w:szCs w:val="28"/>
        </w:rPr>
        <w:t>6</w:t>
      </w:r>
      <w:r w:rsidR="00846BD5" w:rsidRPr="00395AC0">
        <w:rPr>
          <w:rFonts w:ascii="宋体" w:hAnsi="宋体" w:hint="eastAsia"/>
          <w:sz w:val="28"/>
          <w:szCs w:val="28"/>
        </w:rPr>
        <w:t>、</w:t>
      </w:r>
      <w:r w:rsidR="00D51A52" w:rsidRPr="00395AC0">
        <w:rPr>
          <w:rFonts w:ascii="宋体" w:hAnsi="宋体" w:hint="eastAsia"/>
          <w:sz w:val="28"/>
          <w:szCs w:val="28"/>
        </w:rPr>
        <w:t>理解</w:t>
      </w:r>
      <w:r w:rsidR="00AA122F" w:rsidRPr="00395AC0">
        <w:rPr>
          <w:rFonts w:ascii="宋体" w:hAnsi="宋体" w:hint="eastAsia"/>
          <w:sz w:val="28"/>
          <w:szCs w:val="28"/>
        </w:rPr>
        <w:t>水工混凝土温度控制的目的</w:t>
      </w:r>
      <w:r w:rsidR="00D51A52" w:rsidRPr="00395AC0">
        <w:rPr>
          <w:rFonts w:ascii="宋体" w:hAnsi="宋体" w:hint="eastAsia"/>
          <w:sz w:val="28"/>
          <w:szCs w:val="28"/>
        </w:rPr>
        <w:t>，熟悉混凝土温度应力的发展过程及温度应力的类型</w:t>
      </w:r>
      <w:r w:rsidR="00320D86" w:rsidRPr="00395AC0">
        <w:rPr>
          <w:rFonts w:ascii="宋体" w:hAnsi="宋体" w:hint="eastAsia"/>
          <w:sz w:val="28"/>
          <w:szCs w:val="28"/>
        </w:rPr>
        <w:t>，掌握</w:t>
      </w:r>
      <w:r w:rsidR="00AA122F" w:rsidRPr="00395AC0">
        <w:rPr>
          <w:rFonts w:ascii="宋体" w:hAnsi="宋体" w:hint="eastAsia"/>
          <w:sz w:val="28"/>
          <w:szCs w:val="28"/>
        </w:rPr>
        <w:t>坝体混凝土温度控制及防裂措施</w:t>
      </w:r>
      <w:r w:rsidR="00D51A52" w:rsidRPr="00395AC0">
        <w:rPr>
          <w:rFonts w:ascii="宋体" w:hAnsi="宋体" w:hint="eastAsia"/>
          <w:sz w:val="28"/>
          <w:szCs w:val="28"/>
        </w:rPr>
        <w:t>。</w:t>
      </w:r>
    </w:p>
    <w:p w14:paraId="1CD63D19" w14:textId="2B02B72D" w:rsidR="005E2445" w:rsidRPr="00395AC0" w:rsidRDefault="00320D86" w:rsidP="005E2445">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sz w:val="28"/>
          <w:szCs w:val="28"/>
        </w:rPr>
        <w:t>7</w:t>
      </w:r>
      <w:r w:rsidR="005E2445" w:rsidRPr="00395AC0">
        <w:rPr>
          <w:rFonts w:ascii="宋体" w:hAnsi="宋体" w:hint="eastAsia"/>
          <w:sz w:val="28"/>
          <w:szCs w:val="28"/>
        </w:rPr>
        <w:t>、熟悉土石坝的渗流特性及其防渗结构，掌握土石坝渗流计算的定解条件、。</w:t>
      </w:r>
    </w:p>
    <w:p w14:paraId="1C0E8E08" w14:textId="2807B53C" w:rsidR="00D51A52" w:rsidRPr="00395AC0" w:rsidRDefault="00320D86" w:rsidP="00D51A52">
      <w:pPr>
        <w:adjustRightInd w:val="0"/>
        <w:snapToGrid w:val="0"/>
        <w:spacing w:beforeLines="50" w:before="156" w:line="300" w:lineRule="auto"/>
        <w:ind w:firstLineChars="171" w:firstLine="479"/>
        <w:rPr>
          <w:rFonts w:ascii="宋体" w:hAnsi="宋体" w:hint="eastAsia"/>
          <w:sz w:val="28"/>
          <w:szCs w:val="28"/>
        </w:rPr>
      </w:pPr>
      <w:r w:rsidRPr="00395AC0">
        <w:rPr>
          <w:rFonts w:ascii="宋体" w:hAnsi="宋体"/>
          <w:sz w:val="28"/>
          <w:szCs w:val="28"/>
        </w:rPr>
        <w:t>8</w:t>
      </w:r>
      <w:r w:rsidR="00846BD5" w:rsidRPr="00395AC0">
        <w:rPr>
          <w:rFonts w:ascii="宋体" w:hAnsi="宋体" w:hint="eastAsia"/>
          <w:sz w:val="28"/>
          <w:szCs w:val="28"/>
        </w:rPr>
        <w:t>、</w:t>
      </w:r>
      <w:r w:rsidRPr="00395AC0">
        <w:rPr>
          <w:rFonts w:ascii="宋体" w:hAnsi="宋体" w:hint="eastAsia"/>
          <w:sz w:val="28"/>
          <w:szCs w:val="28"/>
        </w:rPr>
        <w:t>熟悉土石坝需进行三维渗流分析的一般情况，</w:t>
      </w:r>
      <w:r w:rsidR="00846BD5" w:rsidRPr="00395AC0">
        <w:rPr>
          <w:rFonts w:ascii="宋体" w:hAnsi="宋体" w:hint="eastAsia"/>
          <w:sz w:val="28"/>
          <w:szCs w:val="28"/>
        </w:rPr>
        <w:t>理解</w:t>
      </w:r>
      <w:r w:rsidR="00D51A52" w:rsidRPr="00395AC0">
        <w:rPr>
          <w:rFonts w:ascii="宋体" w:hAnsi="宋体" w:hint="eastAsia"/>
          <w:sz w:val="28"/>
          <w:szCs w:val="28"/>
        </w:rPr>
        <w:t>土石坝渗流场与应力场的相互影响机理。</w:t>
      </w:r>
    </w:p>
    <w:p w14:paraId="56093F1E" w14:textId="3D54A2F4" w:rsidR="00846BD5" w:rsidRPr="00395AC0" w:rsidRDefault="00846BD5" w:rsidP="00D51A52">
      <w:pPr>
        <w:adjustRightInd w:val="0"/>
        <w:snapToGrid w:val="0"/>
        <w:spacing w:beforeLines="50" w:before="156" w:line="300" w:lineRule="auto"/>
        <w:rPr>
          <w:b/>
          <w:bCs/>
          <w:sz w:val="28"/>
          <w:szCs w:val="28"/>
        </w:rPr>
      </w:pPr>
      <w:r w:rsidRPr="00395AC0">
        <w:rPr>
          <w:rFonts w:hint="eastAsia"/>
          <w:b/>
          <w:bCs/>
          <w:sz w:val="28"/>
          <w:szCs w:val="28"/>
        </w:rPr>
        <w:t>二、考试形式与试卷结构</w:t>
      </w:r>
    </w:p>
    <w:p w14:paraId="3BC746C1" w14:textId="77777777" w:rsidR="00846BD5" w:rsidRPr="00395AC0" w:rsidRDefault="00846BD5" w:rsidP="00846BD5">
      <w:pPr>
        <w:adjustRightInd w:val="0"/>
        <w:snapToGrid w:val="0"/>
        <w:spacing w:beforeLines="50" w:before="156" w:line="300" w:lineRule="auto"/>
        <w:rPr>
          <w:sz w:val="28"/>
          <w:szCs w:val="28"/>
        </w:rPr>
      </w:pPr>
      <w:r w:rsidRPr="00395AC0">
        <w:rPr>
          <w:rFonts w:hint="eastAsia"/>
          <w:sz w:val="28"/>
          <w:szCs w:val="28"/>
        </w:rPr>
        <w:t>（一）考试形式</w:t>
      </w:r>
    </w:p>
    <w:p w14:paraId="66F22052" w14:textId="77777777" w:rsidR="00846BD5" w:rsidRPr="00395AC0" w:rsidRDefault="00846BD5" w:rsidP="00846BD5">
      <w:pPr>
        <w:adjustRightInd w:val="0"/>
        <w:snapToGrid w:val="0"/>
        <w:spacing w:beforeLines="50" w:before="156" w:line="300" w:lineRule="auto"/>
        <w:ind w:firstLineChars="200" w:firstLine="560"/>
        <w:rPr>
          <w:rFonts w:ascii="宋体" w:hAnsi="宋体" w:hint="eastAsia"/>
          <w:sz w:val="28"/>
          <w:szCs w:val="28"/>
        </w:rPr>
      </w:pPr>
      <w:r w:rsidRPr="00395AC0">
        <w:rPr>
          <w:rFonts w:ascii="宋体" w:hAnsi="宋体" w:hint="eastAsia"/>
          <w:sz w:val="28"/>
          <w:szCs w:val="28"/>
        </w:rPr>
        <w:t>考试形式为笔试，考试时间为2小时，满分为100分。</w:t>
      </w:r>
    </w:p>
    <w:p w14:paraId="71CECB31" w14:textId="77777777" w:rsidR="00846BD5" w:rsidRPr="00395AC0" w:rsidRDefault="00846BD5" w:rsidP="00846BD5">
      <w:pPr>
        <w:adjustRightInd w:val="0"/>
        <w:snapToGrid w:val="0"/>
        <w:spacing w:beforeLines="50" w:before="156" w:line="300" w:lineRule="auto"/>
        <w:rPr>
          <w:sz w:val="28"/>
          <w:szCs w:val="28"/>
        </w:rPr>
      </w:pPr>
      <w:r w:rsidRPr="00395AC0">
        <w:rPr>
          <w:rFonts w:hint="eastAsia"/>
          <w:sz w:val="28"/>
          <w:szCs w:val="28"/>
        </w:rPr>
        <w:t>（二）试卷结构及答题要求</w:t>
      </w:r>
    </w:p>
    <w:p w14:paraId="25561C1A" w14:textId="1B36847F" w:rsidR="00846BD5" w:rsidRPr="00395AC0" w:rsidRDefault="00846BD5" w:rsidP="00846BD5">
      <w:pPr>
        <w:adjustRightInd w:val="0"/>
        <w:snapToGrid w:val="0"/>
        <w:spacing w:beforeLines="50" w:before="156" w:line="300" w:lineRule="auto"/>
        <w:ind w:firstLineChars="200" w:firstLine="562"/>
        <w:rPr>
          <w:rFonts w:ascii="宋体" w:hAnsi="宋体" w:hint="eastAsia"/>
          <w:sz w:val="28"/>
          <w:szCs w:val="28"/>
        </w:rPr>
      </w:pPr>
      <w:r w:rsidRPr="00395AC0">
        <w:rPr>
          <w:rFonts w:ascii="宋体" w:hAnsi="宋体" w:hint="eastAsia"/>
          <w:b/>
          <w:sz w:val="28"/>
          <w:szCs w:val="28"/>
        </w:rPr>
        <w:lastRenderedPageBreak/>
        <w:t>试题数量及类型：</w:t>
      </w:r>
      <w:r w:rsidRPr="00395AC0">
        <w:rPr>
          <w:rFonts w:ascii="宋体" w:hAnsi="宋体" w:hint="eastAsia"/>
          <w:sz w:val="28"/>
          <w:szCs w:val="28"/>
        </w:rPr>
        <w:t>试卷共计</w:t>
      </w:r>
      <w:r w:rsidR="00D51A52" w:rsidRPr="00395AC0">
        <w:rPr>
          <w:rFonts w:ascii="宋体" w:hAnsi="宋体"/>
          <w:sz w:val="28"/>
          <w:szCs w:val="28"/>
        </w:rPr>
        <w:t>5</w:t>
      </w:r>
      <w:r w:rsidRPr="00395AC0">
        <w:rPr>
          <w:rFonts w:ascii="宋体" w:hAnsi="宋体" w:hint="eastAsia"/>
          <w:sz w:val="28"/>
          <w:szCs w:val="28"/>
        </w:rPr>
        <w:t>道大题，全部为综合</w:t>
      </w:r>
      <w:r w:rsidRPr="00395AC0">
        <w:rPr>
          <w:rFonts w:ascii="宋体" w:hAnsi="宋体"/>
          <w:sz w:val="28"/>
          <w:szCs w:val="28"/>
        </w:rPr>
        <w:t>题</w:t>
      </w:r>
      <w:r w:rsidRPr="00395AC0">
        <w:rPr>
          <w:rFonts w:ascii="宋体" w:hAnsi="宋体" w:hint="eastAsia"/>
          <w:sz w:val="28"/>
          <w:szCs w:val="28"/>
        </w:rPr>
        <w:t>。</w:t>
      </w:r>
    </w:p>
    <w:p w14:paraId="2EDE5A19" w14:textId="77777777" w:rsidR="00846BD5" w:rsidRPr="00395AC0" w:rsidRDefault="00846BD5" w:rsidP="00846BD5">
      <w:pPr>
        <w:adjustRightInd w:val="0"/>
        <w:snapToGrid w:val="0"/>
        <w:spacing w:beforeLines="50" w:before="156" w:line="300" w:lineRule="auto"/>
        <w:rPr>
          <w:b/>
          <w:bCs/>
          <w:sz w:val="28"/>
          <w:szCs w:val="28"/>
        </w:rPr>
      </w:pPr>
      <w:r w:rsidRPr="00395AC0">
        <w:rPr>
          <w:rFonts w:hint="eastAsia"/>
          <w:b/>
          <w:bCs/>
          <w:sz w:val="28"/>
          <w:szCs w:val="28"/>
        </w:rPr>
        <w:t>三、主要参考书目</w:t>
      </w:r>
    </w:p>
    <w:p w14:paraId="3F1F8A62" w14:textId="77777777" w:rsidR="00D51A52" w:rsidRPr="00395AC0" w:rsidRDefault="00846BD5" w:rsidP="00846BD5">
      <w:pPr>
        <w:spacing w:line="360" w:lineRule="auto"/>
        <w:ind w:leftChars="171" w:left="359"/>
        <w:rPr>
          <w:rFonts w:ascii="宋体" w:hAnsi="宋体" w:cs="宋体" w:hint="eastAsia"/>
          <w:kern w:val="0"/>
          <w:sz w:val="24"/>
        </w:rPr>
      </w:pPr>
      <w:r w:rsidRPr="00395AC0">
        <w:rPr>
          <w:rFonts w:ascii="宋体" w:hAnsi="宋体" w:cs="宋体"/>
          <w:kern w:val="0"/>
          <w:sz w:val="24"/>
        </w:rPr>
        <w:t>1</w:t>
      </w:r>
      <w:r w:rsidRPr="00395AC0">
        <w:rPr>
          <w:rFonts w:ascii="宋体" w:hAnsi="宋体" w:cs="宋体" w:hint="eastAsia"/>
          <w:kern w:val="0"/>
          <w:sz w:val="24"/>
        </w:rPr>
        <w:t>.</w:t>
      </w:r>
      <w:r w:rsidRPr="00395AC0">
        <w:rPr>
          <w:rFonts w:ascii="宋体" w:hAnsi="宋体" w:cs="宋体"/>
          <w:kern w:val="0"/>
          <w:sz w:val="24"/>
        </w:rPr>
        <w:t>《</w:t>
      </w:r>
      <w:r w:rsidR="00D51A52" w:rsidRPr="00395AC0">
        <w:rPr>
          <w:rFonts w:ascii="宋体" w:hAnsi="宋体" w:cs="宋体" w:hint="eastAsia"/>
          <w:kern w:val="0"/>
          <w:sz w:val="24"/>
        </w:rPr>
        <w:t>高等水工结构</w:t>
      </w:r>
      <w:r w:rsidRPr="00395AC0">
        <w:rPr>
          <w:rFonts w:ascii="宋体" w:hAnsi="宋体" w:cs="宋体"/>
          <w:kern w:val="0"/>
          <w:sz w:val="24"/>
        </w:rPr>
        <w:t>》，</w:t>
      </w:r>
      <w:r w:rsidR="00D51A52" w:rsidRPr="00395AC0">
        <w:rPr>
          <w:rFonts w:ascii="宋体" w:hAnsi="宋体" w:cs="宋体" w:hint="eastAsia"/>
          <w:kern w:val="0"/>
          <w:sz w:val="24"/>
        </w:rPr>
        <w:t>王瑞骏，中国水利水电出版社，2016年.</w:t>
      </w:r>
    </w:p>
    <w:p w14:paraId="1F7AFEBB" w14:textId="1585B5AF" w:rsidR="0004745D" w:rsidRPr="00D51A52" w:rsidRDefault="00846BD5" w:rsidP="00D51A52">
      <w:pPr>
        <w:spacing w:line="360" w:lineRule="auto"/>
        <w:ind w:leftChars="171" w:left="359"/>
        <w:rPr>
          <w:rFonts w:ascii="宋体" w:hAnsi="宋体" w:cs="宋体" w:hint="eastAsia"/>
          <w:kern w:val="0"/>
          <w:sz w:val="24"/>
        </w:rPr>
      </w:pPr>
      <w:r w:rsidRPr="00395AC0">
        <w:rPr>
          <w:rFonts w:ascii="宋体" w:hAnsi="宋体" w:cs="宋体"/>
          <w:kern w:val="0"/>
          <w:sz w:val="24"/>
        </w:rPr>
        <w:t>2</w:t>
      </w:r>
      <w:r w:rsidRPr="00395AC0">
        <w:rPr>
          <w:rFonts w:ascii="宋体" w:hAnsi="宋体" w:cs="宋体" w:hint="eastAsia"/>
          <w:kern w:val="0"/>
          <w:sz w:val="24"/>
        </w:rPr>
        <w:t>.</w:t>
      </w:r>
      <w:r w:rsidRPr="00395AC0">
        <w:rPr>
          <w:rFonts w:ascii="宋体" w:hAnsi="宋体" w:cs="宋体"/>
          <w:kern w:val="0"/>
          <w:sz w:val="24"/>
        </w:rPr>
        <w:t>《</w:t>
      </w:r>
      <w:r w:rsidR="00D51A52" w:rsidRPr="00395AC0">
        <w:rPr>
          <w:rFonts w:ascii="宋体" w:hAnsi="宋体" w:cs="宋体" w:hint="eastAsia"/>
          <w:kern w:val="0"/>
          <w:sz w:val="24"/>
        </w:rPr>
        <w:t>水工建筑物(第6版)</w:t>
      </w:r>
      <w:r w:rsidRPr="00395AC0">
        <w:rPr>
          <w:rFonts w:ascii="宋体" w:hAnsi="宋体" w:cs="宋体"/>
          <w:kern w:val="0"/>
          <w:sz w:val="24"/>
        </w:rPr>
        <w:t>》</w:t>
      </w:r>
      <w:r w:rsidR="00D51A52" w:rsidRPr="00395AC0">
        <w:rPr>
          <w:rFonts w:ascii="宋体" w:hAnsi="宋体" w:cs="宋体" w:hint="eastAsia"/>
          <w:kern w:val="0"/>
          <w:sz w:val="24"/>
        </w:rPr>
        <w:t>，林继镛、张社荣，中国水利水电出版社，20</w:t>
      </w:r>
      <w:r w:rsidR="00D51A52" w:rsidRPr="00395AC0">
        <w:rPr>
          <w:rFonts w:ascii="宋体" w:hAnsi="宋体" w:cs="宋体"/>
          <w:kern w:val="0"/>
          <w:sz w:val="24"/>
        </w:rPr>
        <w:t>19</w:t>
      </w:r>
      <w:r w:rsidR="00D51A52" w:rsidRPr="00395AC0">
        <w:rPr>
          <w:rFonts w:ascii="宋体" w:hAnsi="宋体" w:cs="宋体" w:hint="eastAsia"/>
          <w:kern w:val="0"/>
          <w:sz w:val="24"/>
        </w:rPr>
        <w:t>年.</w:t>
      </w:r>
    </w:p>
    <w:sectPr w:rsidR="0004745D" w:rsidRPr="00D51A52" w:rsidSect="008B7E51">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CC35D" w14:textId="77777777" w:rsidR="006C1F8E" w:rsidRDefault="006C1F8E" w:rsidP="00846BD5">
      <w:r>
        <w:separator/>
      </w:r>
    </w:p>
  </w:endnote>
  <w:endnote w:type="continuationSeparator" w:id="0">
    <w:p w14:paraId="63B3CCC2" w14:textId="77777777" w:rsidR="006C1F8E" w:rsidRDefault="006C1F8E" w:rsidP="008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CEA8" w14:textId="77777777" w:rsidR="006C1F8E" w:rsidRDefault="006C1F8E" w:rsidP="00846BD5">
      <w:r>
        <w:separator/>
      </w:r>
    </w:p>
  </w:footnote>
  <w:footnote w:type="continuationSeparator" w:id="0">
    <w:p w14:paraId="4AA32798" w14:textId="77777777" w:rsidR="006C1F8E" w:rsidRDefault="006C1F8E" w:rsidP="0084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10BA9"/>
    <w:multiLevelType w:val="multilevel"/>
    <w:tmpl w:val="62E10BA9"/>
    <w:lvl w:ilvl="0">
      <w:start w:val="1"/>
      <w:numFmt w:val="japaneseCounting"/>
      <w:lvlText w:val="%1、"/>
      <w:lvlJc w:val="left"/>
      <w:pPr>
        <w:tabs>
          <w:tab w:val="left" w:pos="720"/>
        </w:tabs>
        <w:ind w:left="720" w:hanging="720"/>
      </w:pPr>
      <w:rPr>
        <w:rFonts w:hint="default"/>
        <w:b/>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0015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13"/>
    <w:rsid w:val="0004745D"/>
    <w:rsid w:val="00272EB2"/>
    <w:rsid w:val="002D2FE1"/>
    <w:rsid w:val="00320D86"/>
    <w:rsid w:val="00395AC0"/>
    <w:rsid w:val="004B29E5"/>
    <w:rsid w:val="005E2445"/>
    <w:rsid w:val="006C1F8E"/>
    <w:rsid w:val="006E0208"/>
    <w:rsid w:val="00846BD5"/>
    <w:rsid w:val="00854F6C"/>
    <w:rsid w:val="008A0B13"/>
    <w:rsid w:val="0092632A"/>
    <w:rsid w:val="00A84B18"/>
    <w:rsid w:val="00AA122F"/>
    <w:rsid w:val="00AF505E"/>
    <w:rsid w:val="00AF7DAC"/>
    <w:rsid w:val="00B22623"/>
    <w:rsid w:val="00C23CD2"/>
    <w:rsid w:val="00D5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D9993"/>
  <w15:chartTrackingRefBased/>
  <w15:docId w15:val="{EB0692D4-F76A-4A8A-9F2B-41C5FB65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BD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B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6BD5"/>
    <w:rPr>
      <w:sz w:val="18"/>
      <w:szCs w:val="18"/>
    </w:rPr>
  </w:style>
  <w:style w:type="paragraph" w:styleId="a5">
    <w:name w:val="footer"/>
    <w:basedOn w:val="a"/>
    <w:link w:val="a6"/>
    <w:uiPriority w:val="99"/>
    <w:unhideWhenUsed/>
    <w:rsid w:val="00846BD5"/>
    <w:pPr>
      <w:tabs>
        <w:tab w:val="center" w:pos="4153"/>
        <w:tab w:val="right" w:pos="8306"/>
      </w:tabs>
      <w:snapToGrid w:val="0"/>
      <w:jc w:val="left"/>
    </w:pPr>
    <w:rPr>
      <w:sz w:val="18"/>
      <w:szCs w:val="18"/>
    </w:rPr>
  </w:style>
  <w:style w:type="character" w:customStyle="1" w:styleId="a6">
    <w:name w:val="页脚 字符"/>
    <w:basedOn w:val="a0"/>
    <w:link w:val="a5"/>
    <w:uiPriority w:val="99"/>
    <w:rsid w:val="00846B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61950">
      <w:bodyDiv w:val="1"/>
      <w:marLeft w:val="0"/>
      <w:marRight w:val="0"/>
      <w:marTop w:val="0"/>
      <w:marBottom w:val="0"/>
      <w:divBdr>
        <w:top w:val="none" w:sz="0" w:space="0" w:color="auto"/>
        <w:left w:val="none" w:sz="0" w:space="0" w:color="auto"/>
        <w:bottom w:val="none" w:sz="0" w:space="0" w:color="auto"/>
        <w:right w:val="none" w:sz="0" w:space="0" w:color="auto"/>
      </w:divBdr>
    </w:div>
    <w:div w:id="19423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 wang</dc:creator>
  <cp:keywords/>
  <dc:description/>
  <cp:lastModifiedBy>1214433724@qq.com</cp:lastModifiedBy>
  <cp:revision>11</cp:revision>
  <dcterms:created xsi:type="dcterms:W3CDTF">2025-03-16T14:02:00Z</dcterms:created>
  <dcterms:modified xsi:type="dcterms:W3CDTF">2025-03-17T01:50:00Z</dcterms:modified>
</cp:coreProperties>
</file>