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4E98C">
      <w:pPr>
        <w:jc w:val="center"/>
        <w:rPr>
          <w:rFonts w:ascii="小标宋" w:eastAsia="小标宋" w:hAnsiTheme="majorEastAsia" w:cstheme="majorEastAsia"/>
          <w:bCs/>
          <w:color w:val="000000" w:themeColor="text1"/>
          <w:sz w:val="44"/>
          <w:szCs w:val="32"/>
          <w14:textFill>
            <w14:solidFill>
              <w14:schemeClr w14:val="tx1"/>
            </w14:solidFill>
          </w14:textFill>
        </w:rPr>
      </w:pPr>
      <w:r>
        <w:rPr>
          <w:rFonts w:hint="eastAsia" w:ascii="小标宋" w:eastAsia="小标宋" w:hAnsiTheme="majorEastAsia" w:cstheme="majorEastAsia"/>
          <w:bCs/>
          <w:color w:val="000000" w:themeColor="text1"/>
          <w:sz w:val="44"/>
          <w:szCs w:val="32"/>
          <w14:textFill>
            <w14:solidFill>
              <w14:schemeClr w14:val="tx1"/>
            </w14:solidFill>
          </w14:textFill>
        </w:rPr>
        <w:t>四川师范大学数学科学学院</w:t>
      </w:r>
    </w:p>
    <w:p w14:paraId="0626886D">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博士生招生录取办法</w:t>
      </w:r>
    </w:p>
    <w:p w14:paraId="6048A75C">
      <w:pPr>
        <w:spacing w:line="300" w:lineRule="exac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35ABE56D">
      <w:pPr>
        <w:spacing w:line="300" w:lineRule="exact"/>
        <w:rPr>
          <w:rFonts w:ascii="华文仿宋" w:hAnsi="华文仿宋" w:eastAsia="华文仿宋"/>
          <w:color w:val="000000" w:themeColor="text1"/>
          <w:szCs w:val="21"/>
          <w14:textFill>
            <w14:solidFill>
              <w14:schemeClr w14:val="tx1"/>
            </w14:solidFill>
          </w14:textFill>
        </w:rPr>
      </w:pPr>
      <w:bookmarkStart w:id="0" w:name="_GoBack"/>
      <w:bookmarkEnd w:id="0"/>
    </w:p>
    <w:p w14:paraId="39991B1D">
      <w:pPr>
        <w:spacing w:line="540" w:lineRule="exact"/>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根据《四川师范大学博士生导师遴选与管理办法》的精神，为了规范博士生导师招生资格管理，提高博士生培养质量，制订本办法。</w:t>
      </w:r>
    </w:p>
    <w:p w14:paraId="7A5005AE">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第一条 </w:t>
      </w:r>
      <w:r>
        <w:rPr>
          <w:rFonts w:hint="eastAsia" w:ascii="华文仿宋" w:hAnsi="华文仿宋" w:eastAsia="华文仿宋"/>
          <w:color w:val="000000" w:themeColor="text1"/>
          <w:sz w:val="28"/>
          <w:szCs w:val="28"/>
          <w14:textFill>
            <w14:solidFill>
              <w14:schemeClr w14:val="tx1"/>
            </w14:solidFill>
          </w14:textFill>
        </w:rPr>
        <w:t>博士生导师资格须符合学校博士生导师遴选与管理的规定。</w:t>
      </w:r>
    </w:p>
    <w:p w14:paraId="5485CA1C">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第二条 </w:t>
      </w:r>
      <w:r>
        <w:rPr>
          <w:rFonts w:hint="eastAsia" w:ascii="华文仿宋" w:hAnsi="华文仿宋" w:eastAsia="华文仿宋"/>
          <w:color w:val="000000" w:themeColor="text1"/>
          <w:sz w:val="28"/>
          <w:szCs w:val="28"/>
          <w14:textFill>
            <w14:solidFill>
              <w14:schemeClr w14:val="tx1"/>
            </w14:solidFill>
          </w14:textFill>
        </w:rPr>
        <w:t>每位博士生导师每年招生人数原则上为1人，最多不超过2人。</w:t>
      </w:r>
    </w:p>
    <w:p w14:paraId="5756DDF4">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第三条 </w:t>
      </w:r>
      <w:r>
        <w:rPr>
          <w:rFonts w:hint="eastAsia" w:ascii="华文仿宋" w:hAnsi="华文仿宋" w:eastAsia="华文仿宋"/>
          <w:color w:val="000000" w:themeColor="text1"/>
          <w:sz w:val="28"/>
          <w:szCs w:val="28"/>
          <w14:textFill>
            <w14:solidFill>
              <w14:schemeClr w14:val="tx1"/>
            </w14:solidFill>
          </w14:textFill>
        </w:rPr>
        <w:t>根据四川师范大学关于研究生导师招生资格审查确认的相关规定</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超龄导师暂停招生</w:t>
      </w:r>
      <w:r>
        <w:rPr>
          <w:rFonts w:hint="eastAsia" w:ascii="华文仿宋" w:hAnsi="华文仿宋" w:eastAsia="华文仿宋"/>
          <w:color w:val="000000" w:themeColor="text1"/>
          <w:sz w:val="28"/>
          <w:szCs w:val="28"/>
          <w14:textFill>
            <w14:solidFill>
              <w14:schemeClr w14:val="tx1"/>
            </w14:solidFill>
          </w14:textFill>
        </w:rPr>
        <w:t>。因学科发展需要需继续招生的，由四川师范大学数学科学学院分学位委员会讨论决定并依照程序报送学校审批。</w:t>
      </w:r>
    </w:p>
    <w:p w14:paraId="1EE1B15F">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第四条 </w:t>
      </w:r>
      <w:r>
        <w:rPr>
          <w:rFonts w:hint="eastAsia" w:ascii="华文仿宋" w:hAnsi="华文仿宋" w:eastAsia="华文仿宋"/>
          <w:color w:val="000000" w:themeColor="text1"/>
          <w:sz w:val="28"/>
          <w:szCs w:val="28"/>
          <w14:textFill>
            <w14:solidFill>
              <w14:schemeClr w14:val="tx1"/>
            </w14:solidFill>
          </w14:textFill>
        </w:rPr>
        <w:t>在发布招生简章之前，博士生导师指导的学生中有入学5年尚未毕业的博士生大于或等于2人的情况，当年暂停招生。</w:t>
      </w:r>
    </w:p>
    <w:p w14:paraId="100562AE">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第五条 </w:t>
      </w:r>
      <w:r>
        <w:rPr>
          <w:rFonts w:hint="eastAsia" w:ascii="华文仿宋" w:hAnsi="华文仿宋" w:eastAsia="华文仿宋"/>
          <w:color w:val="000000" w:themeColor="text1"/>
          <w:sz w:val="28"/>
          <w:szCs w:val="28"/>
          <w14:textFill>
            <w14:solidFill>
              <w14:schemeClr w14:val="tx1"/>
            </w14:solidFill>
          </w14:textFill>
        </w:rPr>
        <w:t>若当年学生报考的博士生导师数</w:t>
      </w:r>
      <w:r>
        <w:rPr>
          <w:rFonts w:hint="eastAsia" w:ascii="黑体" w:hAnsi="黑体" w:eastAsia="黑体"/>
          <w:b/>
          <w:color w:val="000000" w:themeColor="text1"/>
          <w:sz w:val="28"/>
          <w:szCs w:val="28"/>
          <w14:textFill>
            <w14:solidFill>
              <w14:schemeClr w14:val="tx1"/>
            </w14:solidFill>
          </w14:textFill>
        </w:rPr>
        <w:t>大于或等于</w:t>
      </w:r>
      <w:r>
        <w:rPr>
          <w:rFonts w:hint="eastAsia" w:ascii="华文仿宋" w:hAnsi="华文仿宋" w:eastAsia="华文仿宋"/>
          <w:color w:val="000000" w:themeColor="text1"/>
          <w:sz w:val="28"/>
          <w:szCs w:val="28"/>
          <w14:textFill>
            <w14:solidFill>
              <w14:schemeClr w14:val="tx1"/>
            </w14:solidFill>
          </w14:textFill>
        </w:rPr>
        <w:t>博士招生计划指标数，则每位博士生导师当年招生人数最多不超过1人。对于报考“申请-考核”制学生，且当年符合“申请-考核”条件，根据“申请-考核”制招生计划指标数，按照报考学生的最终综合考核分数从高到低排名顺序并结合招生计划依次进行录取。</w:t>
      </w:r>
    </w:p>
    <w:p w14:paraId="56D15C5A">
      <w:pPr>
        <w:spacing w:line="540" w:lineRule="exact"/>
        <w:ind w:firstLine="562" w:firstLineChars="20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第六条 </w:t>
      </w:r>
      <w:r>
        <w:rPr>
          <w:rFonts w:hint="eastAsia" w:ascii="华文仿宋" w:hAnsi="华文仿宋" w:eastAsia="华文仿宋"/>
          <w:color w:val="000000" w:themeColor="text1"/>
          <w:sz w:val="28"/>
          <w:szCs w:val="28"/>
          <w14:textFill>
            <w14:solidFill>
              <w14:schemeClr w14:val="tx1"/>
            </w14:solidFill>
          </w14:textFill>
        </w:rPr>
        <w:t>若当年学生报考的博士生导师数</w:t>
      </w:r>
      <w:r>
        <w:rPr>
          <w:rFonts w:hint="eastAsia" w:ascii="黑体" w:hAnsi="黑体" w:eastAsia="黑体"/>
          <w:b/>
          <w:color w:val="000000" w:themeColor="text1"/>
          <w:sz w:val="28"/>
          <w:szCs w:val="28"/>
          <w14:textFill>
            <w14:solidFill>
              <w14:schemeClr w14:val="tx1"/>
            </w14:solidFill>
          </w14:textFill>
        </w:rPr>
        <w:t>大于或等于</w:t>
      </w:r>
      <w:r>
        <w:rPr>
          <w:rFonts w:hint="eastAsia" w:ascii="华文仿宋" w:hAnsi="华文仿宋" w:eastAsia="华文仿宋"/>
          <w:color w:val="000000" w:themeColor="text1"/>
          <w:sz w:val="28"/>
          <w:szCs w:val="28"/>
          <w14:textFill>
            <w14:solidFill>
              <w14:schemeClr w14:val="tx1"/>
            </w14:solidFill>
          </w14:textFill>
        </w:rPr>
        <w:t>博士招生计划指标数，则每位博士生导师当年招生人数最多不超过1人，按照报考学生的最终成绩分数从高到低排名顺序并结合招生计划依次进行录取。但若当年“普通招考”类上线</w:t>
      </w:r>
      <w:r>
        <w:rPr>
          <w:rFonts w:ascii="华文仿宋" w:hAnsi="华文仿宋" w:eastAsia="华文仿宋"/>
          <w:color w:val="000000" w:themeColor="text1"/>
          <w:sz w:val="28"/>
          <w:szCs w:val="28"/>
          <w14:textFill>
            <w14:solidFill>
              <w14:schemeClr w14:val="tx1"/>
            </w14:solidFill>
          </w14:textFill>
        </w:rPr>
        <w:t>学生</w:t>
      </w:r>
      <w:r>
        <w:rPr>
          <w:rFonts w:hint="eastAsia" w:ascii="华文仿宋" w:hAnsi="华文仿宋" w:eastAsia="华文仿宋"/>
          <w:color w:val="000000" w:themeColor="text1"/>
          <w:sz w:val="28"/>
          <w:szCs w:val="28"/>
          <w14:textFill>
            <w14:solidFill>
              <w14:schemeClr w14:val="tx1"/>
            </w14:solidFill>
          </w14:textFill>
        </w:rPr>
        <w:t>报考</w:t>
      </w:r>
      <w:r>
        <w:rPr>
          <w:rFonts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z w:val="28"/>
          <w:szCs w:val="28"/>
          <w14:textFill>
            <w14:solidFill>
              <w14:schemeClr w14:val="tx1"/>
            </w14:solidFill>
          </w14:textFill>
        </w:rPr>
        <w:t>博士生</w:t>
      </w:r>
      <w:r>
        <w:rPr>
          <w:rFonts w:ascii="华文仿宋" w:hAnsi="华文仿宋" w:eastAsia="华文仿宋"/>
          <w:color w:val="000000" w:themeColor="text1"/>
          <w:sz w:val="28"/>
          <w:szCs w:val="28"/>
          <w14:textFill>
            <w14:solidFill>
              <w14:schemeClr w14:val="tx1"/>
            </w14:solidFill>
          </w14:textFill>
        </w:rPr>
        <w:t>导师数</w:t>
      </w:r>
      <w:r>
        <w:rPr>
          <w:rFonts w:ascii="黑体" w:hAnsi="黑体" w:eastAsia="黑体"/>
          <w:b/>
          <w:color w:val="000000" w:themeColor="text1"/>
          <w:sz w:val="28"/>
          <w:szCs w:val="28"/>
          <w14:textFill>
            <w14:solidFill>
              <w14:schemeClr w14:val="tx1"/>
            </w14:solidFill>
          </w14:textFill>
        </w:rPr>
        <w:t>小于</w:t>
      </w:r>
      <w:r>
        <w:rPr>
          <w:rFonts w:hint="eastAsia" w:ascii="华文仿宋" w:hAnsi="华文仿宋" w:eastAsia="华文仿宋"/>
          <w:color w:val="000000" w:themeColor="text1"/>
          <w:sz w:val="28"/>
          <w:szCs w:val="28"/>
          <w14:textFill>
            <w14:solidFill>
              <w14:schemeClr w14:val="tx1"/>
            </w14:solidFill>
          </w14:textFill>
        </w:rPr>
        <w:t>博士招生计划指标数扣减当年其他拟用指标数(如直博、申请考核</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则每位博士生导师当年招生人数最多不超过</w:t>
      </w:r>
      <w:r>
        <w:rPr>
          <w:rFonts w:ascii="华文仿宋" w:hAnsi="华文仿宋" w:eastAsia="华文仿宋"/>
          <w:color w:val="000000" w:themeColor="text1"/>
          <w:sz w:val="28"/>
          <w:szCs w:val="28"/>
          <w14:textFill>
            <w14:solidFill>
              <w14:schemeClr w14:val="tx1"/>
            </w14:solidFill>
          </w14:textFill>
        </w:rPr>
        <w:t>2</w:t>
      </w:r>
      <w:r>
        <w:rPr>
          <w:rFonts w:hint="eastAsia" w:ascii="华文仿宋" w:hAnsi="华文仿宋" w:eastAsia="华文仿宋"/>
          <w:color w:val="000000" w:themeColor="text1"/>
          <w:sz w:val="28"/>
          <w:szCs w:val="28"/>
          <w14:textFill>
            <w14:solidFill>
              <w14:schemeClr w14:val="tx1"/>
            </w14:solidFill>
          </w14:textFill>
        </w:rPr>
        <w:t>人，按照上线学生的最终成绩分数从高到低排名顺序并结合招生计划依次进行录取。</w:t>
      </w:r>
    </w:p>
    <w:p w14:paraId="49E432F3">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第七条 </w:t>
      </w:r>
      <w:r>
        <w:rPr>
          <w:rFonts w:hint="eastAsia" w:ascii="华文仿宋" w:hAnsi="华文仿宋" w:eastAsia="华文仿宋"/>
          <w:color w:val="000000" w:themeColor="text1"/>
          <w:sz w:val="28"/>
          <w:szCs w:val="28"/>
          <w14:textFill>
            <w14:solidFill>
              <w14:schemeClr w14:val="tx1"/>
            </w14:solidFill>
          </w14:textFill>
        </w:rPr>
        <w:t>若当年学生报考的博士生导师数</w:t>
      </w:r>
      <w:r>
        <w:rPr>
          <w:rFonts w:hint="eastAsia" w:ascii="黑体" w:hAnsi="黑体" w:eastAsia="黑体"/>
          <w:b/>
          <w:color w:val="000000" w:themeColor="text1"/>
          <w:sz w:val="28"/>
          <w:szCs w:val="28"/>
          <w14:textFill>
            <w14:solidFill>
              <w14:schemeClr w14:val="tx1"/>
            </w14:solidFill>
          </w14:textFill>
        </w:rPr>
        <w:t>小于</w:t>
      </w:r>
      <w:r>
        <w:rPr>
          <w:rFonts w:hint="eastAsia" w:ascii="华文仿宋" w:hAnsi="华文仿宋" w:eastAsia="华文仿宋"/>
          <w:color w:val="000000" w:themeColor="text1"/>
          <w:sz w:val="28"/>
          <w:szCs w:val="28"/>
          <w14:textFill>
            <w14:solidFill>
              <w14:schemeClr w14:val="tx1"/>
            </w14:solidFill>
          </w14:textFill>
        </w:rPr>
        <w:t>博士招生计划指标数，不论“申请-考核”类，</w:t>
      </w:r>
      <w:r>
        <w:rPr>
          <w:rFonts w:ascii="华文仿宋" w:hAnsi="华文仿宋" w:eastAsia="华文仿宋"/>
          <w:color w:val="000000" w:themeColor="text1"/>
          <w:sz w:val="28"/>
          <w:szCs w:val="28"/>
          <w14:textFill>
            <w14:solidFill>
              <w14:schemeClr w14:val="tx1"/>
            </w14:solidFill>
          </w14:textFill>
        </w:rPr>
        <w:t>还是“</w:t>
      </w:r>
      <w:r>
        <w:rPr>
          <w:rFonts w:hint="eastAsia" w:ascii="华文仿宋" w:hAnsi="华文仿宋" w:eastAsia="华文仿宋"/>
          <w:color w:val="000000" w:themeColor="text1"/>
          <w:sz w:val="28"/>
          <w:szCs w:val="28"/>
          <w14:textFill>
            <w14:solidFill>
              <w14:schemeClr w14:val="tx1"/>
            </w14:solidFill>
          </w14:textFill>
        </w:rPr>
        <w:t>普通</w:t>
      </w:r>
      <w:r>
        <w:rPr>
          <w:rFonts w:ascii="华文仿宋" w:hAnsi="华文仿宋" w:eastAsia="华文仿宋"/>
          <w:color w:val="000000" w:themeColor="text1"/>
          <w:sz w:val="28"/>
          <w:szCs w:val="28"/>
          <w14:textFill>
            <w14:solidFill>
              <w14:schemeClr w14:val="tx1"/>
            </w14:solidFill>
          </w14:textFill>
        </w:rPr>
        <w:t>招考”</w:t>
      </w:r>
      <w:r>
        <w:rPr>
          <w:rFonts w:hint="eastAsia" w:ascii="华文仿宋" w:hAnsi="华文仿宋" w:eastAsia="华文仿宋"/>
          <w:color w:val="000000" w:themeColor="text1"/>
          <w:sz w:val="28"/>
          <w:szCs w:val="28"/>
          <w14:textFill>
            <w14:solidFill>
              <w14:schemeClr w14:val="tx1"/>
            </w14:solidFill>
          </w14:textFill>
        </w:rPr>
        <w:t>类</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则每位博士生导师当年招生人数最多不超过2人，按照报考学生的最终成绩从高到低排名顺序并结合招生计划依次进行录取。</w:t>
      </w:r>
    </w:p>
    <w:p w14:paraId="7F216D39">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第八条 </w:t>
      </w:r>
      <w:r>
        <w:rPr>
          <w:rFonts w:hint="eastAsia" w:ascii="华文仿宋" w:hAnsi="华文仿宋" w:eastAsia="华文仿宋"/>
          <w:color w:val="000000" w:themeColor="text1"/>
          <w:sz w:val="28"/>
          <w:szCs w:val="28"/>
          <w14:textFill>
            <w14:solidFill>
              <w14:schemeClr w14:val="tx1"/>
            </w14:solidFill>
          </w14:textFill>
        </w:rPr>
        <w:t>对于当年“普通招考”类上线学生人数</w:t>
      </w:r>
      <w:r>
        <w:rPr>
          <w:rFonts w:hint="eastAsia" w:ascii="黑体" w:hAnsi="黑体" w:eastAsia="黑体"/>
          <w:b/>
          <w:color w:val="000000" w:themeColor="text1"/>
          <w:sz w:val="28"/>
          <w:szCs w:val="28"/>
          <w14:textFill>
            <w14:solidFill>
              <w14:schemeClr w14:val="tx1"/>
            </w14:solidFill>
          </w14:textFill>
        </w:rPr>
        <w:t>小于</w:t>
      </w:r>
      <w:r>
        <w:rPr>
          <w:rFonts w:hint="eastAsia" w:ascii="华文仿宋" w:hAnsi="华文仿宋" w:eastAsia="华文仿宋"/>
          <w:color w:val="000000" w:themeColor="text1"/>
          <w:sz w:val="28"/>
          <w:szCs w:val="28"/>
          <w14:textFill>
            <w14:solidFill>
              <w14:schemeClr w14:val="tx1"/>
            </w14:solidFill>
          </w14:textFill>
        </w:rPr>
        <w:t>博士招生计划指标数扣减当年其他拟用指标数(如直博、申请考核</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，在其报考导师和调剂导师均同意的情况下，上线学生方可申请调剂导师。对于当年“普通招考”类上线学生人数</w:t>
      </w:r>
      <w:r>
        <w:rPr>
          <w:rFonts w:hint="eastAsia" w:ascii="黑体" w:hAnsi="黑体" w:eastAsia="黑体"/>
          <w:b/>
          <w:color w:val="000000" w:themeColor="text1"/>
          <w:sz w:val="28"/>
          <w:szCs w:val="28"/>
          <w14:textFill>
            <w14:solidFill>
              <w14:schemeClr w14:val="tx1"/>
            </w14:solidFill>
          </w14:textFill>
        </w:rPr>
        <w:t>大于或等于</w:t>
      </w:r>
      <w:r>
        <w:rPr>
          <w:rFonts w:hint="eastAsia" w:ascii="华文仿宋" w:hAnsi="华文仿宋" w:eastAsia="华文仿宋"/>
          <w:color w:val="000000" w:themeColor="text1"/>
          <w:sz w:val="28"/>
          <w:szCs w:val="28"/>
          <w14:textFill>
            <w14:solidFill>
              <w14:schemeClr w14:val="tx1"/>
            </w14:solidFill>
          </w14:textFill>
        </w:rPr>
        <w:t>博士招生计划指标数扣减当年其他拟用指标数(如直博、申请考核</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，则不允许调剂导师。“申请-考核”制学生任何情况均不允许调剂导师。</w:t>
      </w:r>
    </w:p>
    <w:p w14:paraId="23DBDA9C">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第九条 </w:t>
      </w:r>
      <w:r>
        <w:rPr>
          <w:rFonts w:hint="eastAsia" w:ascii="华文仿宋" w:hAnsi="华文仿宋" w:eastAsia="华文仿宋"/>
          <w:color w:val="000000" w:themeColor="text1"/>
          <w:sz w:val="28"/>
          <w:szCs w:val="28"/>
          <w14:textFill>
            <w14:solidFill>
              <w14:schemeClr w14:val="tx1"/>
            </w14:solidFill>
          </w14:textFill>
        </w:rPr>
        <w:t>以上方案，若未包含的特殊情况，或若有未尽事宜，由四川师范大学数学科学学院学位评定分委员会讨论后确定。</w:t>
      </w:r>
    </w:p>
    <w:p w14:paraId="2C2F910E">
      <w:pPr>
        <w:spacing w:line="540" w:lineRule="exact"/>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第十条 </w:t>
      </w:r>
      <w:r>
        <w:rPr>
          <w:rFonts w:hint="eastAsia" w:ascii="华文仿宋" w:hAnsi="华文仿宋" w:eastAsia="华文仿宋"/>
          <w:color w:val="000000" w:themeColor="text1"/>
          <w:sz w:val="28"/>
          <w:szCs w:val="28"/>
          <w14:textFill>
            <w14:solidFill>
              <w14:schemeClr w14:val="tx1"/>
            </w14:solidFill>
          </w14:textFill>
        </w:rPr>
        <w:t>本办法由制定当年开始执行。</w:t>
      </w:r>
    </w:p>
    <w:p w14:paraId="4413860C">
      <w:pPr>
        <w:spacing w:line="540" w:lineRule="exact"/>
        <w:ind w:firstLine="560" w:firstLineChars="200"/>
        <w:rPr>
          <w:rFonts w:ascii="华文仿宋" w:hAnsi="华文仿宋" w:eastAsia="华文仿宋"/>
          <w:color w:val="000000" w:themeColor="text1"/>
          <w:sz w:val="28"/>
          <w:szCs w:val="28"/>
          <w14:textFill>
            <w14:solidFill>
              <w14:schemeClr w14:val="tx1"/>
            </w14:solidFill>
          </w14:textFill>
        </w:rPr>
      </w:pPr>
    </w:p>
    <w:p w14:paraId="0EA3857E">
      <w:pPr>
        <w:spacing w:line="540" w:lineRule="exact"/>
        <w:rPr>
          <w:rFonts w:ascii="华文仿宋" w:hAnsi="华文仿宋" w:eastAsia="华文仿宋"/>
          <w:color w:val="000000" w:themeColor="text1"/>
          <w:sz w:val="28"/>
          <w:szCs w:val="28"/>
          <w14:textFill>
            <w14:solidFill>
              <w14:schemeClr w14:val="tx1"/>
            </w14:solidFill>
          </w14:textFill>
        </w:rPr>
      </w:pPr>
    </w:p>
    <w:p w14:paraId="60B81C0C">
      <w:pPr>
        <w:spacing w:line="540" w:lineRule="exact"/>
        <w:rPr>
          <w:rFonts w:ascii="华文仿宋" w:hAnsi="华文仿宋" w:eastAsia="华文仿宋"/>
          <w:color w:val="000000" w:themeColor="text1"/>
          <w:sz w:val="28"/>
          <w:szCs w:val="28"/>
          <w14:textFill>
            <w14:solidFill>
              <w14:schemeClr w14:val="tx1"/>
            </w14:solidFill>
          </w14:textFill>
        </w:rPr>
      </w:pPr>
    </w:p>
    <w:p w14:paraId="62E5BB44">
      <w:pPr>
        <w:spacing w:line="540" w:lineRule="exact"/>
        <w:ind w:firstLine="4480" w:firstLineChars="1600"/>
        <w:jc w:val="right"/>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四川师范大学数学科学学院</w:t>
      </w:r>
    </w:p>
    <w:p w14:paraId="22558DDD">
      <w:pPr>
        <w:spacing w:line="540" w:lineRule="exact"/>
        <w:ind w:firstLine="5040" w:firstLineChars="1800"/>
        <w:jc w:val="right"/>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2021年4月13日</w:t>
      </w:r>
    </w:p>
    <w:p w14:paraId="67C5BE04">
      <w:pPr>
        <w:spacing w:line="560" w:lineRule="exact"/>
        <w:jc w:val="left"/>
        <w:rPr>
          <w:rFonts w:ascii="仿宋_GB2312" w:eastAsia="仿宋_GB2312" w:hAnsiTheme="majorEastAsia" w:cstheme="majorEastAsia"/>
          <w:bCs/>
          <w:color w:val="000000" w:themeColor="text1"/>
          <w:sz w:val="32"/>
          <w:szCs w:val="32"/>
          <w14:textFill>
            <w14:solidFill>
              <w14:schemeClr w14:val="tx1"/>
            </w14:solidFill>
          </w14:textFill>
        </w:rPr>
      </w:pPr>
    </w:p>
    <w:p w14:paraId="1169428B">
      <w:pPr>
        <w:spacing w:line="560" w:lineRule="exact"/>
        <w:jc w:val="left"/>
        <w:rPr>
          <w:rFonts w:ascii="仿宋_GB2312" w:eastAsia="仿宋_GB2312" w:hAnsiTheme="majorEastAsia" w:cstheme="majorEastAsia"/>
          <w:bCs/>
          <w:color w:val="000000" w:themeColor="text1"/>
          <w:sz w:val="32"/>
          <w:szCs w:val="32"/>
          <w14:textFill>
            <w14:solidFill>
              <w14:schemeClr w14:val="tx1"/>
            </w14:solidFill>
          </w14:textFill>
        </w:rPr>
      </w:pPr>
    </w:p>
    <w:p w14:paraId="2421A201">
      <w:pPr>
        <w:spacing w:line="540" w:lineRule="exact"/>
        <w:rPr>
          <w:rFonts w:ascii="仿宋_GB2312" w:hAnsi="华文仿宋" w:eastAsia="仿宋_GB2312" w:cs="华文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BB"/>
    <w:rsid w:val="00002EE1"/>
    <w:rsid w:val="00006877"/>
    <w:rsid w:val="000213A7"/>
    <w:rsid w:val="0005086E"/>
    <w:rsid w:val="00072EA7"/>
    <w:rsid w:val="00073093"/>
    <w:rsid w:val="000A0AFC"/>
    <w:rsid w:val="000A3703"/>
    <w:rsid w:val="000C4680"/>
    <w:rsid w:val="000C787C"/>
    <w:rsid w:val="000D1C92"/>
    <w:rsid w:val="000D5E41"/>
    <w:rsid w:val="000E0015"/>
    <w:rsid w:val="000E3D54"/>
    <w:rsid w:val="000F11DB"/>
    <w:rsid w:val="00105DF6"/>
    <w:rsid w:val="00125F3E"/>
    <w:rsid w:val="00132099"/>
    <w:rsid w:val="00147AD2"/>
    <w:rsid w:val="00151EE0"/>
    <w:rsid w:val="0016054A"/>
    <w:rsid w:val="001870B3"/>
    <w:rsid w:val="00190CC9"/>
    <w:rsid w:val="001D3072"/>
    <w:rsid w:val="001D6DBB"/>
    <w:rsid w:val="001D71FD"/>
    <w:rsid w:val="001E2103"/>
    <w:rsid w:val="001E63A7"/>
    <w:rsid w:val="001F3297"/>
    <w:rsid w:val="002146CC"/>
    <w:rsid w:val="002247C2"/>
    <w:rsid w:val="00225051"/>
    <w:rsid w:val="00240A10"/>
    <w:rsid w:val="002626B7"/>
    <w:rsid w:val="0027170D"/>
    <w:rsid w:val="00294187"/>
    <w:rsid w:val="00294A3E"/>
    <w:rsid w:val="002A1177"/>
    <w:rsid w:val="002A3A9B"/>
    <w:rsid w:val="002A41D0"/>
    <w:rsid w:val="002A4E46"/>
    <w:rsid w:val="002C17C6"/>
    <w:rsid w:val="002E1F5A"/>
    <w:rsid w:val="00303D6E"/>
    <w:rsid w:val="003233F3"/>
    <w:rsid w:val="00325C5E"/>
    <w:rsid w:val="00332464"/>
    <w:rsid w:val="00334113"/>
    <w:rsid w:val="00337FF0"/>
    <w:rsid w:val="00345260"/>
    <w:rsid w:val="00357259"/>
    <w:rsid w:val="0035786F"/>
    <w:rsid w:val="00370A78"/>
    <w:rsid w:val="00372D07"/>
    <w:rsid w:val="00380E49"/>
    <w:rsid w:val="0038119B"/>
    <w:rsid w:val="0038240C"/>
    <w:rsid w:val="00385B2D"/>
    <w:rsid w:val="00393BDB"/>
    <w:rsid w:val="003B20BE"/>
    <w:rsid w:val="003D057B"/>
    <w:rsid w:val="003D634B"/>
    <w:rsid w:val="003E4B72"/>
    <w:rsid w:val="003F5AE2"/>
    <w:rsid w:val="0041530D"/>
    <w:rsid w:val="00430724"/>
    <w:rsid w:val="00450D0B"/>
    <w:rsid w:val="0045168D"/>
    <w:rsid w:val="00455A28"/>
    <w:rsid w:val="00467584"/>
    <w:rsid w:val="00471B96"/>
    <w:rsid w:val="00494B44"/>
    <w:rsid w:val="004A7B36"/>
    <w:rsid w:val="004C5C73"/>
    <w:rsid w:val="004D4A4C"/>
    <w:rsid w:val="004F3934"/>
    <w:rsid w:val="00502D24"/>
    <w:rsid w:val="00504227"/>
    <w:rsid w:val="0051232A"/>
    <w:rsid w:val="005155B6"/>
    <w:rsid w:val="00556C58"/>
    <w:rsid w:val="0058661A"/>
    <w:rsid w:val="005B4427"/>
    <w:rsid w:val="005B4C1F"/>
    <w:rsid w:val="005D446D"/>
    <w:rsid w:val="005F3D19"/>
    <w:rsid w:val="00611034"/>
    <w:rsid w:val="00612CD0"/>
    <w:rsid w:val="0061728D"/>
    <w:rsid w:val="006310A4"/>
    <w:rsid w:val="006775DD"/>
    <w:rsid w:val="00681935"/>
    <w:rsid w:val="006B49D1"/>
    <w:rsid w:val="006C126A"/>
    <w:rsid w:val="006F1FEE"/>
    <w:rsid w:val="007018C2"/>
    <w:rsid w:val="0070217B"/>
    <w:rsid w:val="00711709"/>
    <w:rsid w:val="007236F4"/>
    <w:rsid w:val="00740E16"/>
    <w:rsid w:val="00746909"/>
    <w:rsid w:val="007668F9"/>
    <w:rsid w:val="00785CC0"/>
    <w:rsid w:val="00792257"/>
    <w:rsid w:val="00796F2B"/>
    <w:rsid w:val="00797FCB"/>
    <w:rsid w:val="007A6E56"/>
    <w:rsid w:val="007A70EB"/>
    <w:rsid w:val="007B7507"/>
    <w:rsid w:val="007D0121"/>
    <w:rsid w:val="007D1937"/>
    <w:rsid w:val="007E1A24"/>
    <w:rsid w:val="007F2021"/>
    <w:rsid w:val="00816915"/>
    <w:rsid w:val="00862CCD"/>
    <w:rsid w:val="00871FB6"/>
    <w:rsid w:val="00873AE2"/>
    <w:rsid w:val="00877ECE"/>
    <w:rsid w:val="00883D0E"/>
    <w:rsid w:val="008A0A34"/>
    <w:rsid w:val="008A387A"/>
    <w:rsid w:val="008A5EF5"/>
    <w:rsid w:val="008D7CA2"/>
    <w:rsid w:val="008F6E03"/>
    <w:rsid w:val="00916053"/>
    <w:rsid w:val="00933BD7"/>
    <w:rsid w:val="00935336"/>
    <w:rsid w:val="0094137E"/>
    <w:rsid w:val="00944C55"/>
    <w:rsid w:val="00947B8D"/>
    <w:rsid w:val="00960B74"/>
    <w:rsid w:val="009650B8"/>
    <w:rsid w:val="00965E6E"/>
    <w:rsid w:val="00966C9F"/>
    <w:rsid w:val="00977D5C"/>
    <w:rsid w:val="009948B4"/>
    <w:rsid w:val="0099789A"/>
    <w:rsid w:val="009A66FD"/>
    <w:rsid w:val="009B2ECF"/>
    <w:rsid w:val="009C2B8B"/>
    <w:rsid w:val="009D12CC"/>
    <w:rsid w:val="009E1DD9"/>
    <w:rsid w:val="009E21FB"/>
    <w:rsid w:val="009E742B"/>
    <w:rsid w:val="00A03F0A"/>
    <w:rsid w:val="00A1599B"/>
    <w:rsid w:val="00A16B2D"/>
    <w:rsid w:val="00A5271C"/>
    <w:rsid w:val="00A775FC"/>
    <w:rsid w:val="00A93625"/>
    <w:rsid w:val="00AC4873"/>
    <w:rsid w:val="00AD72B4"/>
    <w:rsid w:val="00AF3DC6"/>
    <w:rsid w:val="00AF7346"/>
    <w:rsid w:val="00B03B32"/>
    <w:rsid w:val="00B0549E"/>
    <w:rsid w:val="00B061EF"/>
    <w:rsid w:val="00B12E8D"/>
    <w:rsid w:val="00B16342"/>
    <w:rsid w:val="00B20941"/>
    <w:rsid w:val="00B230F5"/>
    <w:rsid w:val="00B3433C"/>
    <w:rsid w:val="00B80928"/>
    <w:rsid w:val="00B91CF3"/>
    <w:rsid w:val="00B95709"/>
    <w:rsid w:val="00BD7307"/>
    <w:rsid w:val="00BF7F62"/>
    <w:rsid w:val="00C00E38"/>
    <w:rsid w:val="00C10939"/>
    <w:rsid w:val="00C13120"/>
    <w:rsid w:val="00C20754"/>
    <w:rsid w:val="00C25C9F"/>
    <w:rsid w:val="00C27161"/>
    <w:rsid w:val="00C34471"/>
    <w:rsid w:val="00C37D95"/>
    <w:rsid w:val="00C60762"/>
    <w:rsid w:val="00C677D4"/>
    <w:rsid w:val="00C804AB"/>
    <w:rsid w:val="00C948DF"/>
    <w:rsid w:val="00CE49B7"/>
    <w:rsid w:val="00CF0394"/>
    <w:rsid w:val="00CF6F71"/>
    <w:rsid w:val="00D0126C"/>
    <w:rsid w:val="00D11F49"/>
    <w:rsid w:val="00D12282"/>
    <w:rsid w:val="00D25E14"/>
    <w:rsid w:val="00D31570"/>
    <w:rsid w:val="00D569EA"/>
    <w:rsid w:val="00D72EF2"/>
    <w:rsid w:val="00D752A2"/>
    <w:rsid w:val="00DA760C"/>
    <w:rsid w:val="00DC54EE"/>
    <w:rsid w:val="00DD2717"/>
    <w:rsid w:val="00DD7BD4"/>
    <w:rsid w:val="00E03344"/>
    <w:rsid w:val="00E0733F"/>
    <w:rsid w:val="00E20B4F"/>
    <w:rsid w:val="00E471F5"/>
    <w:rsid w:val="00E57D91"/>
    <w:rsid w:val="00EA63AE"/>
    <w:rsid w:val="00EB0CDB"/>
    <w:rsid w:val="00EB5412"/>
    <w:rsid w:val="00EC72D0"/>
    <w:rsid w:val="00ED31A4"/>
    <w:rsid w:val="00EF1085"/>
    <w:rsid w:val="00F00F45"/>
    <w:rsid w:val="00F01925"/>
    <w:rsid w:val="00F441C7"/>
    <w:rsid w:val="00F61B95"/>
    <w:rsid w:val="00F67F98"/>
    <w:rsid w:val="00FA51BD"/>
    <w:rsid w:val="00FB61A0"/>
    <w:rsid w:val="00FC14C2"/>
    <w:rsid w:val="00FD147E"/>
    <w:rsid w:val="00FF0B39"/>
    <w:rsid w:val="00FF42E5"/>
    <w:rsid w:val="07D272A1"/>
    <w:rsid w:val="0ACE036A"/>
    <w:rsid w:val="12993F68"/>
    <w:rsid w:val="174C6698"/>
    <w:rsid w:val="18C515E7"/>
    <w:rsid w:val="3FB56C3E"/>
    <w:rsid w:val="5E954BFD"/>
    <w:rsid w:val="60D44C62"/>
    <w:rsid w:val="63F9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w:basedOn w:val="1"/>
    <w:link w:val="21"/>
    <w:qFormat/>
    <w:uiPriority w:val="1"/>
    <w:pPr>
      <w:autoSpaceDE w:val="0"/>
      <w:autoSpaceDN w:val="0"/>
      <w:ind w:left="109"/>
      <w:jc w:val="left"/>
    </w:pPr>
    <w:rPr>
      <w:rFonts w:ascii="宋体" w:hAnsi="宋体" w:eastAsia="宋体" w:cs="宋体"/>
      <w:kern w:val="0"/>
      <w:sz w:val="32"/>
      <w:szCs w:val="32"/>
      <w:lang w:val="zh-CN" w:bidi="zh-CN"/>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1"/>
    <w:link w:val="4"/>
    <w:semiHidden/>
    <w:qFormat/>
    <w:uiPriority w:val="99"/>
  </w:style>
  <w:style w:type="character" w:customStyle="1" w:styleId="18">
    <w:name w:val="批注框文本 字符"/>
    <w:basedOn w:val="11"/>
    <w:link w:val="5"/>
    <w:semiHidden/>
    <w:qFormat/>
    <w:uiPriority w:val="99"/>
    <w:rPr>
      <w:sz w:val="18"/>
      <w:szCs w:val="18"/>
    </w:rPr>
  </w:style>
  <w:style w:type="character" w:customStyle="1" w:styleId="19">
    <w:name w:val="批注文字 字符"/>
    <w:basedOn w:val="11"/>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正文文本 字符"/>
    <w:basedOn w:val="11"/>
    <w:link w:val="3"/>
    <w:qFormat/>
    <w:uiPriority w:val="1"/>
    <w:rPr>
      <w:rFonts w:ascii="宋体" w:hAnsi="宋体" w:eastAsia="宋体" w:cs="宋体"/>
      <w:kern w:val="0"/>
      <w:sz w:val="32"/>
      <w:szCs w:val="32"/>
      <w:lang w:val="zh-CN" w:bidi="zh-CN"/>
    </w:rPr>
  </w:style>
  <w:style w:type="paragraph" w:customStyle="1" w:styleId="22">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988</Words>
  <Characters>992</Characters>
  <Lines>7</Lines>
  <Paragraphs>2</Paragraphs>
  <TotalTime>97</TotalTime>
  <ScaleCrop>false</ScaleCrop>
  <LinksUpToDate>false</LinksUpToDate>
  <CharactersWithSpaces>1006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2019-10-10T03:20:00Z</dcterms:created>
  <dc:creator>Administrator</dc:creator>
  <cp:lastModifiedBy>wodeguo</cp:lastModifiedBy>
  <dcterms:modified xsi:type="dcterms:W3CDTF">2025-04-30T02:45:28Z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C948B30B07544B608DF7DBA75A61620F_12</vt:lpwstr>
  </property>
  <property fmtid="{D5CDD505-2E9C-101B-9397-08002B2CF9AE}" pid="4" name="KSOTemplateDocerSaveRecord">
    <vt:lpwstr>eyJoZGlkIjoiOGFlNmRjOWNhYzNkYzFhZGU3MTlkY2EwYzNmNmU3NGYiLCJ1c2VySWQiOiI5ODczNDIwOTgifQ==</vt:lpwstr>
  </property>
</Properties>
</file>