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ind w:right="-5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山东第一医科大学附属中心医院</w:t>
      </w:r>
    </w:p>
    <w:p>
      <w:pPr>
        <w:ind w:right="-5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rPr>
        <w:t>4</w:t>
      </w:r>
      <w:r>
        <w:rPr>
          <w:rFonts w:hint="eastAsia" w:ascii="方正小标宋简体" w:hAnsi="方正小标宋简体" w:eastAsia="方正小标宋简体" w:cs="方正小标宋简体"/>
          <w:sz w:val="44"/>
          <w:szCs w:val="44"/>
        </w:rPr>
        <w:t>年博士研究生招生录取工作方案</w:t>
      </w:r>
    </w:p>
    <w:p>
      <w:pPr>
        <w:ind w:right="-50"/>
        <w:jc w:val="center"/>
        <w:rPr>
          <w:rFonts w:ascii="方正小标宋简体" w:hAnsi="方正小标宋简体" w:eastAsia="方正小标宋简体" w:cs="方正小标宋简体"/>
          <w:sz w:val="44"/>
          <w:szCs w:val="44"/>
        </w:rPr>
      </w:pPr>
    </w:p>
    <w:p>
      <w:pPr>
        <w:ind w:firstLine="640"/>
      </w:pPr>
      <w:r>
        <w:rPr>
          <w:rFonts w:hint="eastAsia"/>
        </w:rPr>
        <w:t>根据《山东第一医科大学（山东省医学科学院）202</w:t>
      </w:r>
      <w:r>
        <w:rPr>
          <w:rFonts w:hint="eastAsia"/>
          <w:lang w:val="en-US"/>
        </w:rPr>
        <w:t>4</w:t>
      </w:r>
      <w:r>
        <w:rPr>
          <w:rFonts w:hint="eastAsia"/>
        </w:rPr>
        <w:t>年博士研究生招生录取工作方案》要求，我院博士研究生申请</w:t>
      </w:r>
      <w:r>
        <w:rPr>
          <w:rFonts w:hint="eastAsia"/>
          <w:lang w:val="en-US"/>
        </w:rPr>
        <w:t>考</w:t>
      </w:r>
      <w:r>
        <w:rPr>
          <w:rFonts w:hint="eastAsia"/>
        </w:rPr>
        <w:t>核制招生复试录取相关工作安排如下:</w:t>
      </w:r>
    </w:p>
    <w:p>
      <w:pPr>
        <w:pStyle w:val="2"/>
        <w:ind w:firstLine="640"/>
        <w:rPr>
          <w:lang w:val="en-US"/>
        </w:rPr>
      </w:pPr>
      <w:r>
        <w:rPr>
          <w:rFonts w:hint="eastAsia"/>
        </w:rPr>
        <w:t>一、招生</w:t>
      </w:r>
      <w:r>
        <w:rPr>
          <w:rFonts w:hint="eastAsia"/>
          <w:lang w:val="en-US"/>
        </w:rPr>
        <w:t>工作领导小组</w:t>
      </w:r>
    </w:p>
    <w:p>
      <w:pPr>
        <w:ind w:firstLine="640"/>
      </w:pPr>
      <w:r>
        <w:rPr>
          <w:rFonts w:hint="eastAsia"/>
        </w:rPr>
        <w:t>医院成立研究生招生工作领导小组，负责本单位博士招生录取工作。成立以纪检监察部门为主组成的单位复试工作监督小组，负责复试各环节监督工作，并受理考生的举报、投诉等事宜。</w:t>
      </w:r>
    </w:p>
    <w:p>
      <w:pPr>
        <w:ind w:firstLine="640"/>
      </w:pPr>
      <w:r>
        <w:rPr>
          <w:rFonts w:hint="eastAsia"/>
        </w:rPr>
        <w:t>成立研究生复试专项工作组，确保材料审核、试题命制、考务组织、试卷评阅、综合素质考核等工作顺利进行。</w:t>
      </w:r>
    </w:p>
    <w:p>
      <w:pPr>
        <w:pStyle w:val="2"/>
        <w:ind w:firstLine="640"/>
      </w:pPr>
      <w:r>
        <w:rPr>
          <w:rFonts w:hint="eastAsia"/>
        </w:rPr>
        <w:t>二、招生计划</w:t>
      </w:r>
    </w:p>
    <w:p>
      <w:pPr>
        <w:ind w:firstLine="640"/>
        <w:rPr>
          <w:lang w:val="en-US"/>
        </w:rPr>
      </w:pPr>
      <w:r>
        <w:rPr>
          <w:rFonts w:hint="eastAsia"/>
          <w:lang w:val="en-US"/>
        </w:rPr>
        <w:t>我院第一批次招生计划共1名，</w:t>
      </w:r>
      <w:r>
        <w:rPr>
          <w:rFonts w:hint="eastAsia"/>
        </w:rPr>
        <w:t>招生导师为：</w:t>
      </w:r>
      <w:r>
        <w:rPr>
          <w:rFonts w:hint="eastAsia"/>
          <w:lang w:val="en-US"/>
        </w:rPr>
        <w:t>内科学（内分泌与代谢病）宋勇峰教授。</w:t>
      </w:r>
    </w:p>
    <w:p>
      <w:pPr>
        <w:pStyle w:val="2"/>
        <w:ind w:firstLine="640"/>
        <w:rPr>
          <w:lang w:val="en-US"/>
        </w:rPr>
      </w:pPr>
      <w:r>
        <w:rPr>
          <w:rFonts w:hint="eastAsia"/>
          <w:lang w:val="en-US"/>
        </w:rPr>
        <w:t>三、报考条件</w:t>
      </w:r>
    </w:p>
    <w:p>
      <w:pPr>
        <w:ind w:firstLine="640"/>
        <w:rPr>
          <w:lang w:val="en-US"/>
        </w:rPr>
      </w:pPr>
      <w:r>
        <w:rPr>
          <w:rFonts w:hint="eastAsia"/>
          <w:lang w:val="en-US"/>
        </w:rPr>
        <w:t>请查阅</w:t>
      </w:r>
      <w:r>
        <w:rPr>
          <w:rFonts w:hint="eastAsia"/>
        </w:rPr>
        <w:t>《山东第一医科大学（山东省医学科学院）202</w:t>
      </w:r>
      <w:r>
        <w:rPr>
          <w:rFonts w:hint="eastAsia"/>
          <w:lang w:val="en-US"/>
        </w:rPr>
        <w:t>4</w:t>
      </w:r>
      <w:r>
        <w:rPr>
          <w:rFonts w:hint="eastAsia"/>
        </w:rPr>
        <w:t>年博士研究生招生</w:t>
      </w:r>
      <w:r>
        <w:rPr>
          <w:rFonts w:hint="eastAsia"/>
          <w:lang w:val="en-US"/>
        </w:rPr>
        <w:t>简章</w:t>
      </w:r>
      <w:r>
        <w:rPr>
          <w:rFonts w:hint="eastAsia"/>
        </w:rPr>
        <w:t>》</w:t>
      </w:r>
      <w:r>
        <w:rPr>
          <w:rFonts w:hint="eastAsia"/>
          <w:lang w:val="en-US"/>
        </w:rPr>
        <w:t>。</w:t>
      </w:r>
    </w:p>
    <w:p>
      <w:pPr>
        <w:pStyle w:val="2"/>
        <w:ind w:firstLine="640"/>
      </w:pPr>
      <w:r>
        <w:rPr>
          <w:rFonts w:hint="eastAsia"/>
          <w:lang w:val="en-US"/>
        </w:rPr>
        <w:t>四</w:t>
      </w:r>
      <w:r>
        <w:rPr>
          <w:rFonts w:hint="eastAsia"/>
        </w:rPr>
        <w:t>、招生考核方式</w:t>
      </w:r>
    </w:p>
    <w:p>
      <w:pPr>
        <w:ind w:firstLine="640"/>
      </w:pPr>
      <w:r>
        <w:rPr>
          <w:rFonts w:hint="eastAsia"/>
        </w:rPr>
        <w:t>根据学校工作安排，本次博士“申请</w:t>
      </w:r>
      <w:r>
        <w:rPr>
          <w:rFonts w:hint="eastAsia"/>
          <w:lang w:val="en-US"/>
        </w:rPr>
        <w:t>考</w:t>
      </w:r>
      <w:r>
        <w:rPr>
          <w:rFonts w:hint="eastAsia"/>
        </w:rPr>
        <w:t>核制”招生考核方式由</w:t>
      </w:r>
      <w:r>
        <w:rPr>
          <w:rFonts w:hint="eastAsia"/>
          <w:b/>
          <w:bCs/>
        </w:rPr>
        <w:t>材料审核和招生单位考核</w:t>
      </w:r>
      <w:r>
        <w:rPr>
          <w:rFonts w:hint="eastAsia"/>
        </w:rPr>
        <w:t>两部分组成。</w:t>
      </w:r>
    </w:p>
    <w:p>
      <w:pPr>
        <w:pStyle w:val="3"/>
        <w:ind w:firstLine="640"/>
      </w:pPr>
      <w:r>
        <w:rPr>
          <w:rFonts w:hint="eastAsia"/>
        </w:rPr>
        <w:t>（一）材料审核</w:t>
      </w:r>
    </w:p>
    <w:p>
      <w:pPr>
        <w:ind w:firstLine="640"/>
        <w:rPr>
          <w:lang w:val="en-US"/>
        </w:rPr>
      </w:pPr>
      <w:r>
        <w:rPr>
          <w:rFonts w:hint="eastAsia"/>
        </w:rPr>
        <w:t>各</w:t>
      </w:r>
      <w:r>
        <w:rPr>
          <w:rFonts w:hint="eastAsia"/>
          <w:lang w:val="en-US"/>
        </w:rPr>
        <w:t>学科</w:t>
      </w:r>
      <w:r>
        <w:rPr>
          <w:rFonts w:hint="eastAsia"/>
        </w:rPr>
        <w:t>成立材料审核小组，</w:t>
      </w:r>
      <w:r>
        <w:rPr>
          <w:rFonts w:hint="eastAsia"/>
          <w:lang w:val="en-US"/>
        </w:rPr>
        <w:t>审核小</w:t>
      </w:r>
      <w:r>
        <w:rPr>
          <w:rFonts w:hint="eastAsia"/>
        </w:rPr>
        <w:t>组需对考生材料进行评价打分，打分过程全程录音录像。材料审核成绩排序原则与录取原则一致，按照报考招生导师进行排序。原则上参加考核人数应控制在招生计划的300%，由</w:t>
      </w:r>
      <w:r>
        <w:rPr>
          <w:rFonts w:hint="eastAsia"/>
          <w:lang w:val="en-US"/>
        </w:rPr>
        <w:t>医院公示材料审核结果并通知进入考核的考生。</w:t>
      </w:r>
    </w:p>
    <w:p>
      <w:pPr>
        <w:pStyle w:val="3"/>
        <w:ind w:firstLine="640"/>
      </w:pPr>
      <w:r>
        <w:rPr>
          <w:rFonts w:hint="eastAsia"/>
        </w:rPr>
        <w:t>（二）</w:t>
      </w:r>
      <w:r>
        <w:rPr>
          <w:rFonts w:hint="eastAsia"/>
          <w:lang w:val="en-US"/>
        </w:rPr>
        <w:t>招生</w:t>
      </w:r>
      <w:r>
        <w:rPr>
          <w:rFonts w:hint="eastAsia"/>
        </w:rPr>
        <w:t>单位考核</w:t>
      </w:r>
    </w:p>
    <w:p>
      <w:pPr>
        <w:ind w:firstLine="640"/>
        <w:rPr>
          <w:lang w:val="en-US"/>
        </w:rPr>
      </w:pPr>
      <w:r>
        <w:rPr>
          <w:rFonts w:hint="eastAsia"/>
        </w:rPr>
        <w:t>1、考核方式：采用</w:t>
      </w:r>
      <w:r>
        <w:rPr>
          <w:rFonts w:hint="eastAsia"/>
          <w:b/>
          <w:bCs/>
        </w:rPr>
        <w:t>线上或</w:t>
      </w:r>
      <w:r>
        <w:rPr>
          <w:rFonts w:hint="eastAsia"/>
          <w:b/>
          <w:bCs/>
          <w:lang w:val="en-US"/>
        </w:rPr>
        <w:t>线下方式</w:t>
      </w:r>
      <w:r>
        <w:rPr>
          <w:rFonts w:hint="eastAsia"/>
          <w:lang w:val="en-US"/>
        </w:rPr>
        <w:t>考核（具体考核方式将另行通知学生）。</w:t>
      </w:r>
    </w:p>
    <w:p>
      <w:pPr>
        <w:ind w:firstLine="640"/>
      </w:pPr>
      <w:r>
        <w:rPr>
          <w:rFonts w:hint="eastAsia"/>
        </w:rPr>
        <w:t>2、考核小组组成要求：按学科专业组建考核小组，考核小组由5名以上（含5名）博士生指导教师或相关专业副高级职称及以上人员组成（</w:t>
      </w:r>
      <w:r>
        <w:rPr>
          <w:rFonts w:hint="eastAsia"/>
          <w:lang w:val="en-US"/>
        </w:rPr>
        <w:t>其中博导不少于3名</w:t>
      </w:r>
      <w:r>
        <w:rPr>
          <w:rFonts w:hint="eastAsia"/>
        </w:rPr>
        <w:t>），小组成员须政治素质好、责任心强、公道正派、教学经验丰富。考核组设秘书一名，主要负责考核全程的录音录像、复试记录、复试期间的协调等工作。考核音像材料由考核小组组长和单位研究生招生工作领导小组组长共同签字密封。考核材料，由</w:t>
      </w:r>
      <w:r>
        <w:rPr>
          <w:rFonts w:hint="eastAsia"/>
          <w:lang w:val="en-US" w:eastAsia="zh-CN"/>
        </w:rPr>
        <w:t>医院</w:t>
      </w:r>
      <w:r>
        <w:rPr>
          <w:rFonts w:hint="eastAsia"/>
        </w:rPr>
        <w:t>统一保管，保存期限不少于3年。</w:t>
      </w:r>
      <w:bookmarkStart w:id="0" w:name="_GoBack"/>
      <w:bookmarkEnd w:id="0"/>
    </w:p>
    <w:p>
      <w:pPr>
        <w:ind w:firstLine="640"/>
      </w:pPr>
      <w:r>
        <w:rPr>
          <w:rFonts w:hint="eastAsia"/>
        </w:rPr>
        <w:t>3、考核时间：</w:t>
      </w:r>
      <w:r>
        <w:rPr>
          <w:rFonts w:hint="eastAsia"/>
          <w:lang w:val="en-US"/>
        </w:rPr>
        <w:t>3月5日-8日</w:t>
      </w:r>
      <w:r>
        <w:rPr>
          <w:rFonts w:hint="eastAsia"/>
        </w:rPr>
        <w:t>，考核地点：济南市中心医院中心院区（解放路105号）9号楼，具体时间</w:t>
      </w:r>
      <w:r>
        <w:rPr>
          <w:rFonts w:hint="eastAsia"/>
          <w:lang w:val="en-US"/>
        </w:rPr>
        <w:t>地点</w:t>
      </w:r>
      <w:r>
        <w:rPr>
          <w:rFonts w:hint="eastAsia"/>
        </w:rPr>
        <w:t>将另行通知</w:t>
      </w:r>
      <w:r>
        <w:rPr>
          <w:rFonts w:hint="eastAsia"/>
          <w:lang w:val="en-US"/>
        </w:rPr>
        <w:t>到考生</w:t>
      </w:r>
      <w:r>
        <w:rPr>
          <w:rFonts w:hint="eastAsia"/>
        </w:rPr>
        <w:t>。</w:t>
      </w:r>
    </w:p>
    <w:p>
      <w:pPr>
        <w:ind w:firstLine="640"/>
      </w:pPr>
      <w:r>
        <w:rPr>
          <w:rFonts w:hint="eastAsia"/>
        </w:rPr>
        <w:t>4、考核内容</w:t>
      </w:r>
    </w:p>
    <w:p>
      <w:pPr>
        <w:ind w:firstLine="640"/>
      </w:pPr>
      <w:r>
        <w:rPr>
          <w:rFonts w:hint="eastAsia"/>
        </w:rPr>
        <w:t>（</w:t>
      </w:r>
      <w:r>
        <w:rPr>
          <w:rFonts w:hint="eastAsia"/>
          <w:lang w:val="en-US"/>
        </w:rPr>
        <w:t>1</w:t>
      </w:r>
      <w:r>
        <w:rPr>
          <w:rFonts w:hint="eastAsia"/>
        </w:rPr>
        <w:t>）外国语水平考核，满分100分，</w:t>
      </w:r>
      <w:r>
        <w:rPr>
          <w:rFonts w:hint="eastAsia"/>
          <w:lang w:val="en-US"/>
        </w:rPr>
        <w:t>采用笔试或口试方式考核</w:t>
      </w:r>
      <w:r>
        <w:rPr>
          <w:rFonts w:hint="eastAsia"/>
        </w:rPr>
        <w:t>；</w:t>
      </w:r>
    </w:p>
    <w:p>
      <w:pPr>
        <w:ind w:firstLine="640"/>
      </w:pPr>
      <w:r>
        <w:rPr>
          <w:rFonts w:hint="eastAsia"/>
        </w:rPr>
        <w:t>（</w:t>
      </w:r>
      <w:r>
        <w:rPr>
          <w:rFonts w:hint="eastAsia"/>
          <w:lang w:val="en-US"/>
        </w:rPr>
        <w:t>2）</w:t>
      </w:r>
      <w:r>
        <w:rPr>
          <w:rFonts w:hint="eastAsia"/>
        </w:rPr>
        <w:t>专业课考核，满分100分，</w:t>
      </w:r>
      <w:r>
        <w:rPr>
          <w:rFonts w:hint="eastAsia"/>
          <w:lang w:val="en-US"/>
        </w:rPr>
        <w:t>采用笔试或口试方式考核</w:t>
      </w:r>
      <w:r>
        <w:rPr>
          <w:rFonts w:hint="eastAsia"/>
        </w:rPr>
        <w:t>；</w:t>
      </w:r>
    </w:p>
    <w:p>
      <w:pPr>
        <w:ind w:firstLine="640"/>
      </w:pPr>
      <w:r>
        <w:rPr>
          <w:rFonts w:hint="eastAsia"/>
        </w:rPr>
        <w:t>（</w:t>
      </w:r>
      <w:r>
        <w:rPr>
          <w:rFonts w:hint="eastAsia"/>
          <w:lang w:val="en-US"/>
        </w:rPr>
        <w:t>3）</w:t>
      </w:r>
      <w:r>
        <w:rPr>
          <w:rFonts w:hint="eastAsia"/>
        </w:rPr>
        <w:t>综合素质考核，满分100分。要求进入考核的考生准备10分钟</w:t>
      </w:r>
      <w:r>
        <w:rPr>
          <w:rFonts w:hint="eastAsia"/>
          <w:lang w:val="en-US"/>
        </w:rPr>
        <w:t>PPT</w:t>
      </w:r>
      <w:r>
        <w:rPr>
          <w:rFonts w:hint="eastAsia"/>
        </w:rPr>
        <w:t>汇报，汇报内容包括：①个人简介、科研经历和成果介绍；②拟从事研究领域前沿进展；③拟开展的研究工作设想等。考核小组就考生逻辑思维、学术素养、科研水平、创新能力等方面展开提问和考察。综合素质考核时长一般不少于20分钟。对综合素质考核不合格（低于60分）者，不予录取。</w:t>
      </w:r>
    </w:p>
    <w:p>
      <w:pPr>
        <w:pStyle w:val="2"/>
        <w:ind w:firstLine="640"/>
      </w:pPr>
      <w:r>
        <w:rPr>
          <w:rFonts w:hint="eastAsia"/>
          <w:lang w:val="en-US"/>
        </w:rPr>
        <w:t>五</w:t>
      </w:r>
      <w:r>
        <w:rPr>
          <w:rFonts w:hint="eastAsia"/>
        </w:rPr>
        <w:t>、录取办法</w:t>
      </w:r>
    </w:p>
    <w:p>
      <w:pPr>
        <w:ind w:firstLine="640"/>
      </w:pPr>
      <w:r>
        <w:rPr>
          <w:rFonts w:hint="eastAsia"/>
        </w:rPr>
        <w:t>根据导师招生计划按录取成绩从高分往低分</w:t>
      </w:r>
      <w:r>
        <w:rPr>
          <w:rFonts w:hint="eastAsia"/>
          <w:lang w:val="en-US"/>
        </w:rPr>
        <w:t>排序录取</w:t>
      </w:r>
      <w:r>
        <w:rPr>
          <w:rFonts w:hint="eastAsia"/>
        </w:rPr>
        <w:t>。录取成绩由材料审核成绩、外国语水平考核、专业课考核成绩、综合素质考核成绩四部分组成，成绩折算成百分制。</w:t>
      </w:r>
    </w:p>
    <w:p>
      <w:pPr>
        <w:ind w:firstLine="640"/>
      </w:pPr>
      <w:r>
        <w:rPr>
          <w:rFonts w:hint="eastAsia"/>
        </w:rPr>
        <w:t>1、录取成绩=（材料审核成绩*10%+（外语水平+专业课考核）/2*30%+综合素质考核*60%）。</w:t>
      </w:r>
    </w:p>
    <w:p>
      <w:pPr>
        <w:ind w:firstLine="640"/>
      </w:pPr>
      <w:r>
        <w:rPr>
          <w:rFonts w:hint="eastAsia"/>
        </w:rPr>
        <w:t>2、</w:t>
      </w:r>
      <w:r>
        <w:rPr>
          <w:rFonts w:hint="eastAsia"/>
          <w:lang w:val="en-US"/>
        </w:rPr>
        <w:t>综合素质考核</w:t>
      </w:r>
      <w:r>
        <w:rPr>
          <w:rFonts w:hint="eastAsia"/>
        </w:rPr>
        <w:t>不合格（低于60分）者不予录取。</w:t>
      </w:r>
    </w:p>
    <w:p>
      <w:pPr>
        <w:ind w:firstLine="640"/>
      </w:pPr>
      <w:r>
        <w:rPr>
          <w:rFonts w:hint="eastAsia"/>
        </w:rPr>
        <w:t>3、思想政治素质和品德考核是保证入学新生质量的重要工作环节，是招生录取工作的重要内容，必须严格遵循实事求是的原则认真做好考核工作，对思想品德考核不合格者不予录取。</w:t>
      </w:r>
    </w:p>
    <w:p>
      <w:pPr>
        <w:pStyle w:val="2"/>
        <w:ind w:firstLine="640"/>
      </w:pPr>
      <w:r>
        <w:rPr>
          <w:rFonts w:hint="eastAsia"/>
          <w:lang w:val="en-US"/>
        </w:rPr>
        <w:t>六</w:t>
      </w:r>
      <w:r>
        <w:rPr>
          <w:rFonts w:hint="eastAsia"/>
        </w:rPr>
        <w:t>、</w:t>
      </w:r>
      <w:r>
        <w:rPr>
          <w:rFonts w:hint="eastAsia"/>
          <w:lang w:val="en-US"/>
        </w:rPr>
        <w:t>拟录取结果</w:t>
      </w:r>
      <w:r>
        <w:rPr>
          <w:rFonts w:hint="eastAsia"/>
        </w:rPr>
        <w:t>公示</w:t>
      </w:r>
    </w:p>
    <w:p>
      <w:pPr>
        <w:ind w:firstLine="640"/>
      </w:pPr>
      <w:r>
        <w:rPr>
          <w:rFonts w:hint="eastAsia"/>
          <w:lang w:val="en-US"/>
        </w:rPr>
        <w:t>拟录取结果经学校招生工作领导小组审批后公示</w:t>
      </w:r>
      <w:r>
        <w:rPr>
          <w:rFonts w:hint="eastAsia"/>
        </w:rPr>
        <w:t>。</w:t>
      </w:r>
    </w:p>
    <w:p>
      <w:pPr>
        <w:ind w:firstLine="640"/>
      </w:pPr>
      <w:r>
        <w:rPr>
          <w:rFonts w:hint="eastAsia"/>
        </w:rPr>
        <w:t>联系方式：王老师        联系电话：0531-55865249</w:t>
      </w:r>
    </w:p>
    <w:p>
      <w:pPr>
        <w:pStyle w:val="4"/>
        <w:spacing w:line="500" w:lineRule="exact"/>
        <w:ind w:right="395" w:firstLine="560"/>
        <w:jc w:val="center"/>
        <w:rPr>
          <w:rFonts w:ascii="仿宋" w:hAnsi="仿宋" w:eastAsia="仿宋" w:cs="仿宋"/>
          <w:lang w:val="en-US"/>
        </w:rPr>
      </w:pPr>
      <w:r>
        <w:rPr>
          <w:rFonts w:hint="eastAsia" w:ascii="仿宋" w:hAnsi="仿宋" w:eastAsia="仿宋" w:cs="仿宋"/>
          <w:lang w:val="en-US"/>
        </w:rPr>
        <w:t xml:space="preserve"> </w:t>
      </w:r>
    </w:p>
    <w:p>
      <w:pPr>
        <w:pStyle w:val="4"/>
        <w:spacing w:line="500" w:lineRule="exact"/>
        <w:ind w:right="395" w:firstLine="640"/>
        <w:jc w:val="center"/>
        <w:rPr>
          <w:rFonts w:ascii="仿宋_GB2312" w:hAnsi="仿宋_GB2312" w:cs="仿宋_GB2312"/>
          <w:sz w:val="32"/>
          <w:szCs w:val="32"/>
        </w:rPr>
      </w:pPr>
      <w:r>
        <w:rPr>
          <w:rFonts w:hint="eastAsia" w:ascii="仿宋_GB2312" w:hAnsi="仿宋_GB2312" w:cs="仿宋_GB2312"/>
          <w:sz w:val="32"/>
          <w:szCs w:val="32"/>
          <w:lang w:val="en-US"/>
        </w:rPr>
        <w:t xml:space="preserve">                      </w:t>
      </w:r>
      <w:r>
        <w:rPr>
          <w:rFonts w:hint="eastAsia" w:ascii="仿宋_GB2312" w:hAnsi="仿宋_GB2312" w:cs="仿宋_GB2312"/>
          <w:sz w:val="32"/>
          <w:szCs w:val="32"/>
        </w:rPr>
        <w:t>山东第一医科大学附属中心医院</w:t>
      </w:r>
    </w:p>
    <w:p>
      <w:pPr>
        <w:pStyle w:val="4"/>
        <w:wordWrap w:val="0"/>
        <w:spacing w:line="500" w:lineRule="exact"/>
        <w:ind w:right="395" w:firstLine="640"/>
        <w:jc w:val="right"/>
        <w:rPr>
          <w:rFonts w:ascii="仿宋_GB2312" w:hAnsi="仿宋_GB2312" w:cs="仿宋_GB2312"/>
          <w:sz w:val="32"/>
          <w:szCs w:val="32"/>
          <w:lang w:val="en-US"/>
        </w:rPr>
      </w:pPr>
      <w:r>
        <w:rPr>
          <w:rFonts w:hint="eastAsia" w:ascii="仿宋_GB2312" w:hAnsi="仿宋_GB2312" w:cs="仿宋_GB2312"/>
          <w:sz w:val="32"/>
          <w:szCs w:val="32"/>
          <w:lang w:val="en-US"/>
        </w:rPr>
        <w:t xml:space="preserve">  </w:t>
      </w:r>
      <w:r>
        <w:rPr>
          <w:rFonts w:hint="eastAsia" w:ascii="仿宋_GB2312" w:hAnsi="仿宋_GB2312" w:cs="仿宋_GB2312"/>
          <w:sz w:val="32"/>
          <w:szCs w:val="32"/>
        </w:rPr>
        <w:t>202</w:t>
      </w:r>
      <w:r>
        <w:rPr>
          <w:rFonts w:hint="eastAsia" w:ascii="仿宋_GB2312" w:hAnsi="仿宋_GB2312" w:cs="仿宋_GB2312"/>
          <w:sz w:val="32"/>
          <w:szCs w:val="32"/>
          <w:lang w:val="en-US"/>
        </w:rPr>
        <w:t>4</w:t>
      </w:r>
      <w:r>
        <w:rPr>
          <w:rFonts w:hint="eastAsia" w:ascii="仿宋_GB2312" w:hAnsi="仿宋_GB2312" w:cs="仿宋_GB2312"/>
          <w:sz w:val="32"/>
          <w:szCs w:val="32"/>
        </w:rPr>
        <w:t>年</w:t>
      </w:r>
      <w:r>
        <w:rPr>
          <w:rFonts w:hint="eastAsia" w:ascii="仿宋_GB2312" w:hAnsi="仿宋_GB2312" w:cs="仿宋_GB2312"/>
          <w:sz w:val="32"/>
          <w:szCs w:val="32"/>
          <w:lang w:val="en-US"/>
        </w:rPr>
        <w:t>2</w:t>
      </w:r>
      <w:r>
        <w:rPr>
          <w:rFonts w:hint="eastAsia" w:ascii="仿宋_GB2312" w:hAnsi="仿宋_GB2312" w:cs="仿宋_GB2312"/>
          <w:sz w:val="32"/>
          <w:szCs w:val="32"/>
        </w:rPr>
        <w:t>月6日</w:t>
      </w:r>
      <w:r>
        <w:rPr>
          <w:rFonts w:hint="eastAsia" w:ascii="仿宋_GB2312" w:hAnsi="仿宋_GB2312" w:cs="仿宋_GB2312"/>
          <w:sz w:val="32"/>
          <w:szCs w:val="32"/>
          <w:lang w:val="en-US"/>
        </w:rPr>
        <w:t xml:space="preserve">   </w:t>
      </w:r>
    </w:p>
    <w:sectPr>
      <w:pgSz w:w="11910" w:h="16840"/>
      <w:pgMar w:top="1440" w:right="1417" w:bottom="1440" w:left="1417" w:header="720" w:footer="720" w:gutter="0"/>
      <w:cols w:space="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ZTEyYmYwNzRkNWQ5MDdkODdjMDYzNTgyODQ1M2IifQ=="/>
  </w:docVars>
  <w:rsids>
    <w:rsidRoot w:val="00DD0FE0"/>
    <w:rsid w:val="00071E62"/>
    <w:rsid w:val="00073B3C"/>
    <w:rsid w:val="000B4467"/>
    <w:rsid w:val="000C1AA9"/>
    <w:rsid w:val="000F7AEA"/>
    <w:rsid w:val="00140E8E"/>
    <w:rsid w:val="001B0AD7"/>
    <w:rsid w:val="001E577F"/>
    <w:rsid w:val="00253262"/>
    <w:rsid w:val="003824C5"/>
    <w:rsid w:val="003B3C92"/>
    <w:rsid w:val="003B3DB5"/>
    <w:rsid w:val="003F2E6B"/>
    <w:rsid w:val="0049307A"/>
    <w:rsid w:val="0056233C"/>
    <w:rsid w:val="006A778E"/>
    <w:rsid w:val="00706F50"/>
    <w:rsid w:val="00785C60"/>
    <w:rsid w:val="007A2D98"/>
    <w:rsid w:val="00842E5F"/>
    <w:rsid w:val="008723C3"/>
    <w:rsid w:val="00894B42"/>
    <w:rsid w:val="00A256E8"/>
    <w:rsid w:val="00C1493E"/>
    <w:rsid w:val="00C42632"/>
    <w:rsid w:val="00C435B1"/>
    <w:rsid w:val="00CC4C07"/>
    <w:rsid w:val="00D07B86"/>
    <w:rsid w:val="00D90451"/>
    <w:rsid w:val="00D959E7"/>
    <w:rsid w:val="00DD0FE0"/>
    <w:rsid w:val="00E10AEC"/>
    <w:rsid w:val="00EE78FC"/>
    <w:rsid w:val="00FC6CC0"/>
    <w:rsid w:val="00FC6D76"/>
    <w:rsid w:val="00FF05F1"/>
    <w:rsid w:val="0141521C"/>
    <w:rsid w:val="014F6641"/>
    <w:rsid w:val="05991DFC"/>
    <w:rsid w:val="07FE41F0"/>
    <w:rsid w:val="09766281"/>
    <w:rsid w:val="09872DED"/>
    <w:rsid w:val="0AA479FE"/>
    <w:rsid w:val="0B5D7F44"/>
    <w:rsid w:val="0E4A46A9"/>
    <w:rsid w:val="0F6B0AEA"/>
    <w:rsid w:val="11E91E50"/>
    <w:rsid w:val="123E592B"/>
    <w:rsid w:val="196F567B"/>
    <w:rsid w:val="1B6C0F17"/>
    <w:rsid w:val="1B7548C4"/>
    <w:rsid w:val="1BA275E1"/>
    <w:rsid w:val="1BB47375"/>
    <w:rsid w:val="1BDE216B"/>
    <w:rsid w:val="1D26129B"/>
    <w:rsid w:val="1FBF453A"/>
    <w:rsid w:val="21877ADE"/>
    <w:rsid w:val="24967F5F"/>
    <w:rsid w:val="26B628B1"/>
    <w:rsid w:val="26FC4AB8"/>
    <w:rsid w:val="273121C1"/>
    <w:rsid w:val="28881316"/>
    <w:rsid w:val="28887BBC"/>
    <w:rsid w:val="298734E1"/>
    <w:rsid w:val="29A6415E"/>
    <w:rsid w:val="2BE30C2A"/>
    <w:rsid w:val="2C444745"/>
    <w:rsid w:val="2DBD5D7C"/>
    <w:rsid w:val="2E9B490C"/>
    <w:rsid w:val="30A71CB4"/>
    <w:rsid w:val="31344855"/>
    <w:rsid w:val="3295019B"/>
    <w:rsid w:val="32A970B0"/>
    <w:rsid w:val="37023232"/>
    <w:rsid w:val="37503ADD"/>
    <w:rsid w:val="39D52E80"/>
    <w:rsid w:val="3AAC3BE1"/>
    <w:rsid w:val="40EC195A"/>
    <w:rsid w:val="434133C6"/>
    <w:rsid w:val="449B155C"/>
    <w:rsid w:val="44F70A86"/>
    <w:rsid w:val="45FC3821"/>
    <w:rsid w:val="468431BC"/>
    <w:rsid w:val="489773C3"/>
    <w:rsid w:val="48EE4361"/>
    <w:rsid w:val="4FFE5036"/>
    <w:rsid w:val="51E24880"/>
    <w:rsid w:val="531678D0"/>
    <w:rsid w:val="550B381F"/>
    <w:rsid w:val="568D2A59"/>
    <w:rsid w:val="59656A6D"/>
    <w:rsid w:val="59BE1DA7"/>
    <w:rsid w:val="5A3B0686"/>
    <w:rsid w:val="5AF34ABD"/>
    <w:rsid w:val="5B4041A6"/>
    <w:rsid w:val="5BCD17B1"/>
    <w:rsid w:val="5CE67EF1"/>
    <w:rsid w:val="5F360ED7"/>
    <w:rsid w:val="6206074D"/>
    <w:rsid w:val="62600C89"/>
    <w:rsid w:val="628F0D16"/>
    <w:rsid w:val="657B7223"/>
    <w:rsid w:val="686678C6"/>
    <w:rsid w:val="6A6229DE"/>
    <w:rsid w:val="6BF84629"/>
    <w:rsid w:val="6C011246"/>
    <w:rsid w:val="6DAF0D17"/>
    <w:rsid w:val="6FA17A41"/>
    <w:rsid w:val="706E4A94"/>
    <w:rsid w:val="71A16B80"/>
    <w:rsid w:val="740C6EC3"/>
    <w:rsid w:val="74DC4846"/>
    <w:rsid w:val="77E67119"/>
    <w:rsid w:val="786170B2"/>
    <w:rsid w:val="78775AEB"/>
    <w:rsid w:val="7A1D75F8"/>
    <w:rsid w:val="7D1B3CD3"/>
    <w:rsid w:val="7EF8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line="560" w:lineRule="exact"/>
      <w:ind w:firstLine="880" w:firstLineChars="200"/>
    </w:pPr>
    <w:rPr>
      <w:rFonts w:ascii="宋体" w:hAnsi="宋体" w:eastAsia="仿宋_GB2312" w:cs="宋体"/>
      <w:sz w:val="32"/>
      <w:szCs w:val="22"/>
      <w:lang w:val="zh-CN" w:eastAsia="zh-CN" w:bidi="zh-CN"/>
    </w:rPr>
  </w:style>
  <w:style w:type="paragraph" w:styleId="2">
    <w:name w:val="heading 1"/>
    <w:basedOn w:val="1"/>
    <w:next w:val="1"/>
    <w:qFormat/>
    <w:uiPriority w:val="1"/>
    <w:pPr>
      <w:spacing w:line="422" w:lineRule="exact"/>
      <w:ind w:left="120"/>
      <w:outlineLvl w:val="0"/>
    </w:pPr>
    <w:rPr>
      <w:rFonts w:ascii="Microsoft JhengHei" w:hAnsi="Microsoft JhengHei" w:eastAsia="黑体" w:cs="Microsoft JhengHei"/>
      <w:bCs/>
      <w:szCs w:val="28"/>
    </w:rPr>
  </w:style>
  <w:style w:type="paragraph" w:styleId="3">
    <w:name w:val="heading 2"/>
    <w:basedOn w:val="2"/>
    <w:next w:val="1"/>
    <w:unhideWhenUsed/>
    <w:qFormat/>
    <w:uiPriority w:val="0"/>
    <w:pPr>
      <w:spacing w:line="560" w:lineRule="exact"/>
      <w:ind w:left="0"/>
      <w:outlineLvl w:val="1"/>
    </w:pPr>
    <w:rPr>
      <w:rFonts w:ascii="楷体_GB2312" w:hAnsi="楷体_GB2312" w:eastAsia="楷体_GB2312" w:cs="楷体_GB2312"/>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1"/>
    <w:rPr>
      <w:sz w:val="28"/>
      <w:szCs w:val="28"/>
    </w:rPr>
  </w:style>
  <w:style w:type="paragraph" w:styleId="5">
    <w:name w:val="footer"/>
    <w:basedOn w:val="1"/>
    <w:link w:val="15"/>
    <w:qFormat/>
    <w:uiPriority w:val="0"/>
    <w:pPr>
      <w:tabs>
        <w:tab w:val="center" w:pos="4153"/>
        <w:tab w:val="right" w:pos="8306"/>
      </w:tabs>
      <w:snapToGrid w:val="0"/>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pPr>
    <w:rPr>
      <w:rFonts w:cs="Times New Roman"/>
      <w:sz w:val="24"/>
      <w:lang w:val="en-US" w:bidi="ar-SA"/>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Table Normal"/>
    <w:autoRedefine/>
    <w:semiHidden/>
    <w:unhideWhenUsed/>
    <w:qFormat/>
    <w:uiPriority w:val="2"/>
    <w:tblPr>
      <w:tblCellMar>
        <w:top w:w="0" w:type="dxa"/>
        <w:left w:w="0" w:type="dxa"/>
        <w:bottom w:w="0" w:type="dxa"/>
        <w:right w:w="0" w:type="dxa"/>
      </w:tblCellMar>
    </w:tblPr>
  </w:style>
  <w:style w:type="paragraph" w:styleId="12">
    <w:name w:val="List Paragraph"/>
    <w:basedOn w:val="1"/>
    <w:autoRedefine/>
    <w:qFormat/>
    <w:uiPriority w:val="1"/>
    <w:pPr>
      <w:ind w:left="1468" w:hanging="742"/>
    </w:pPr>
  </w:style>
  <w:style w:type="paragraph" w:customStyle="1" w:styleId="13">
    <w:name w:val="Table Paragraph"/>
    <w:basedOn w:val="1"/>
    <w:autoRedefine/>
    <w:qFormat/>
    <w:uiPriority w:val="1"/>
  </w:style>
  <w:style w:type="character" w:customStyle="1" w:styleId="14">
    <w:name w:val="页眉 Char"/>
    <w:basedOn w:val="10"/>
    <w:link w:val="6"/>
    <w:autoRedefine/>
    <w:qFormat/>
    <w:uiPriority w:val="0"/>
    <w:rPr>
      <w:rFonts w:ascii="宋体" w:hAnsi="宋体" w:cs="宋体"/>
      <w:sz w:val="18"/>
      <w:szCs w:val="18"/>
      <w:lang w:val="zh-CN" w:bidi="zh-CN"/>
    </w:rPr>
  </w:style>
  <w:style w:type="character" w:customStyle="1" w:styleId="15">
    <w:name w:val="页脚 Char"/>
    <w:basedOn w:val="10"/>
    <w:link w:val="5"/>
    <w:autoRedefine/>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212</Words>
  <Characters>1213</Characters>
  <Lines>10</Lines>
  <Paragraphs>2</Paragraphs>
  <TotalTime>3</TotalTime>
  <ScaleCrop>false</ScaleCrop>
  <LinksUpToDate>false</LinksUpToDate>
  <CharactersWithSpaces>1423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2024-02-07T00:28:00Z</dcterms:created>
  <dc:creator>王真真</dc:creator>
  <cp:lastModifiedBy>4</cp:lastModifiedBy>
  <dcterms:modified xsi:type="dcterms:W3CDTF">2024-02-07T06:47:42Z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2022-05-05T00:00:00Z</vt:filetime>
  </property>
  <property fmtid="{D5CDD505-2E9C-101B-9397-08002B2CF9AE}" pid="5" name="KSOProductBuildVer">
    <vt:lpwstr>2052-12.1.0.16250</vt:lpwstr>
  </property>
  <property fmtid="{D5CDD505-2E9C-101B-9397-08002B2CF9AE}" pid="6" name="ICV">
    <vt:lpwstr>F0C206E1C1C548538708C6428992A032_13</vt:lpwstr>
  </property>
</Properties>
</file>