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85E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rPr>
        <w:t>西南大学外国语学院2025年博士研究生“申请-考核制”招生工作实施细则</w:t>
      </w:r>
    </w:p>
    <w:p w14:paraId="5E174A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sz w:val="28"/>
          <w:szCs w:val="28"/>
          <w:bdr w:val="none" w:color="auto" w:sz="0" w:space="0"/>
        </w:rPr>
        <w:t>为进一步提高博士研究生的生源质量，完善高层次人才选拔方式，充分发挥博士生导师在博士研究生招生过程中的主导作用，选拔具有创新能力和学术专长的拔尖创新人才，学院深化推行“申请</w:t>
      </w:r>
      <w:r>
        <w:rPr>
          <w:rFonts w:hint="eastAsia" w:ascii="微软雅黑" w:hAnsi="微软雅黑" w:eastAsia="微软雅黑" w:cs="微软雅黑"/>
          <w:i w:val="0"/>
          <w:iCs w:val="0"/>
          <w:caps w:val="0"/>
          <w:color w:val="000000"/>
          <w:spacing w:val="0"/>
          <w:sz w:val="20"/>
          <w:szCs w:val="20"/>
          <w:bdr w:val="none" w:color="auto" w:sz="0" w:space="0"/>
          <w:lang w:val="en-US"/>
        </w:rPr>
        <w:t>-</w:t>
      </w:r>
      <w:r>
        <w:rPr>
          <w:rFonts w:hint="default" w:ascii="仿宋_gb2312" w:hAnsi="微软雅黑" w:eastAsia="仿宋_gb2312" w:cs="仿宋_gb2312"/>
          <w:i w:val="0"/>
          <w:iCs w:val="0"/>
          <w:caps w:val="0"/>
          <w:color w:val="000000"/>
          <w:spacing w:val="0"/>
          <w:sz w:val="28"/>
          <w:szCs w:val="28"/>
          <w:bdr w:val="none" w:color="auto" w:sz="0" w:space="0"/>
        </w:rPr>
        <w:t>考核制”博士招生方式，按照教育部和学校的有关规定，结合学科发展情况，制定本细则。</w:t>
      </w:r>
    </w:p>
    <w:p w14:paraId="43DB5F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4"/>
          <w:szCs w:val="24"/>
        </w:rPr>
      </w:pPr>
      <w:r>
        <w:rPr>
          <w:rStyle w:val="9"/>
          <w:rFonts w:ascii="仿宋" w:hAnsi="仿宋" w:eastAsia="仿宋" w:cs="仿宋"/>
          <w:i w:val="0"/>
          <w:iCs w:val="0"/>
          <w:caps w:val="0"/>
          <w:color w:val="000000"/>
          <w:spacing w:val="0"/>
          <w:sz w:val="32"/>
          <w:szCs w:val="32"/>
          <w:bdr w:val="none" w:color="auto" w:sz="0" w:space="0"/>
        </w:rPr>
        <w:t>一、选拔原则</w:t>
      </w:r>
    </w:p>
    <w:p w14:paraId="6570F8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坚持公开、公平、公正，德、智、体、美、劳全面衡量，择优录取，宁缺毋滥的原则；坚持专家组及学院研究生招生工作领导小组集体决策的原则；坚持以考生的创新能力、科研潜力和已获得的学术成果为依据的原则。</w:t>
      </w:r>
    </w:p>
    <w:p w14:paraId="606935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4"/>
          <w:szCs w:val="24"/>
        </w:rPr>
      </w:pPr>
      <w:r>
        <w:rPr>
          <w:rStyle w:val="9"/>
          <w:rFonts w:hint="eastAsia" w:ascii="仿宋" w:hAnsi="仿宋" w:eastAsia="仿宋" w:cs="仿宋"/>
          <w:i w:val="0"/>
          <w:iCs w:val="0"/>
          <w:caps w:val="0"/>
          <w:color w:val="000000"/>
          <w:spacing w:val="0"/>
          <w:sz w:val="32"/>
          <w:szCs w:val="32"/>
          <w:bdr w:val="none" w:color="auto" w:sz="0" w:space="0"/>
        </w:rPr>
        <w:t>二、组织管理</w:t>
      </w:r>
    </w:p>
    <w:p w14:paraId="7BA1F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2"/>
        <w:jc w:val="both"/>
        <w:rPr>
          <w:rFonts w:hint="default" w:ascii="Times New Roman" w:hAnsi="Times New Roman" w:cs="Times New Roman"/>
          <w:i w:val="0"/>
          <w:iCs w:val="0"/>
          <w:caps w:val="0"/>
          <w:color w:val="333333"/>
          <w:spacing w:val="0"/>
          <w:sz w:val="24"/>
          <w:szCs w:val="24"/>
        </w:rPr>
      </w:pP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（一）研究生招生工作领导小组</w:t>
      </w:r>
    </w:p>
    <w:p w14:paraId="2DCA7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负责制定学院的“申请考核制”实施细则并组织实施。</w:t>
      </w:r>
    </w:p>
    <w:p w14:paraId="7868D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2"/>
        <w:jc w:val="both"/>
        <w:rPr>
          <w:rFonts w:hint="default" w:ascii="Times New Roman" w:hAnsi="Times New Roman" w:cs="Times New Roman"/>
          <w:i w:val="0"/>
          <w:iCs w:val="0"/>
          <w:caps w:val="0"/>
          <w:color w:val="333333"/>
          <w:spacing w:val="0"/>
          <w:sz w:val="24"/>
          <w:szCs w:val="24"/>
        </w:rPr>
      </w:pP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（二）研究生招生工作监督检查小组</w:t>
      </w:r>
    </w:p>
    <w:p w14:paraId="4A417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负责材料审核、综合考核、录取过程的监督检查和考生的申诉释疑工作。</w:t>
      </w:r>
    </w:p>
    <w:p w14:paraId="77D7E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2"/>
        <w:jc w:val="both"/>
        <w:rPr>
          <w:rFonts w:hint="default" w:ascii="Times New Roman" w:hAnsi="Times New Roman" w:cs="Times New Roman"/>
          <w:i w:val="0"/>
          <w:iCs w:val="0"/>
          <w:caps w:val="0"/>
          <w:color w:val="333333"/>
          <w:spacing w:val="0"/>
          <w:sz w:val="24"/>
          <w:szCs w:val="24"/>
        </w:rPr>
      </w:pP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（三）材料审核小组</w:t>
      </w:r>
    </w:p>
    <w:p w14:paraId="0A105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由</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7-9</w:t>
      </w:r>
      <w:r>
        <w:rPr>
          <w:rFonts w:hint="eastAsia" w:ascii="仿宋" w:hAnsi="仿宋" w:eastAsia="仿宋" w:cs="仿宋"/>
          <w:i w:val="0"/>
          <w:iCs w:val="0"/>
          <w:caps w:val="0"/>
          <w:color w:val="000000"/>
          <w:spacing w:val="0"/>
          <w:kern w:val="0"/>
          <w:sz w:val="28"/>
          <w:szCs w:val="28"/>
          <w:bdr w:val="none" w:color="auto" w:sz="0" w:space="0"/>
          <w:lang w:val="en-US" w:eastAsia="zh-CN" w:bidi="ar"/>
        </w:rPr>
        <w:t>名具有副教授以上职称的专业教师组成（其中，教授不少于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仿宋" w:hAnsi="仿宋" w:eastAsia="仿宋" w:cs="仿宋"/>
          <w:i w:val="0"/>
          <w:iCs w:val="0"/>
          <w:caps w:val="0"/>
          <w:color w:val="000000"/>
          <w:spacing w:val="0"/>
          <w:kern w:val="0"/>
          <w:sz w:val="28"/>
          <w:szCs w:val="28"/>
          <w:bdr w:val="none" w:color="auto" w:sz="0" w:space="0"/>
          <w:lang w:val="en-US" w:eastAsia="zh-CN" w:bidi="ar"/>
        </w:rPr>
        <w:t>人、博士生指导教师不少于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仿宋" w:hAnsi="仿宋" w:eastAsia="仿宋" w:cs="仿宋"/>
          <w:i w:val="0"/>
          <w:iCs w:val="0"/>
          <w:caps w:val="0"/>
          <w:color w:val="000000"/>
          <w:spacing w:val="0"/>
          <w:kern w:val="0"/>
          <w:sz w:val="28"/>
          <w:szCs w:val="28"/>
          <w:bdr w:val="none" w:color="auto" w:sz="0" w:space="0"/>
          <w:lang w:val="en-US" w:eastAsia="zh-CN" w:bidi="ar"/>
        </w:rPr>
        <w:t>人），</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负责对报考考生所提交的材料进行全面审核。</w:t>
      </w:r>
    </w:p>
    <w:p w14:paraId="62C2A4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2"/>
        <w:jc w:val="both"/>
        <w:rPr>
          <w:rFonts w:hint="default" w:ascii="Times New Roman" w:hAnsi="Times New Roman" w:cs="Times New Roman"/>
          <w:i w:val="0"/>
          <w:iCs w:val="0"/>
          <w:caps w:val="0"/>
          <w:color w:val="333333"/>
          <w:spacing w:val="0"/>
          <w:sz w:val="24"/>
          <w:szCs w:val="24"/>
        </w:rPr>
      </w:pP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（四）综合考核小组</w:t>
      </w:r>
    </w:p>
    <w:p w14:paraId="73582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由</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5-7</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名教授组成（其中，博士生指导教师不少于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人），负责博士研究生综合考核的各项工作。</w:t>
      </w:r>
    </w:p>
    <w:p w14:paraId="54D2D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 </w:t>
      </w:r>
    </w:p>
    <w:p w14:paraId="3FA571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4"/>
          <w:szCs w:val="24"/>
        </w:rPr>
      </w:pPr>
      <w:r>
        <w:rPr>
          <w:rStyle w:val="9"/>
          <w:rFonts w:hint="eastAsia" w:ascii="仿宋" w:hAnsi="仿宋" w:eastAsia="仿宋" w:cs="仿宋"/>
          <w:i w:val="0"/>
          <w:iCs w:val="0"/>
          <w:caps w:val="0"/>
          <w:color w:val="000000"/>
          <w:spacing w:val="0"/>
          <w:sz w:val="32"/>
          <w:szCs w:val="32"/>
          <w:bdr w:val="none" w:color="auto" w:sz="0" w:space="0"/>
        </w:rPr>
        <w:t>三、招生专业及其计划</w:t>
      </w:r>
    </w:p>
    <w:tbl>
      <w:tblPr>
        <w:tblW w:w="873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90"/>
        <w:gridCol w:w="3403"/>
        <w:gridCol w:w="2438"/>
      </w:tblGrid>
      <w:tr w14:paraId="663690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6" w:hRule="atLeast"/>
          <w:jc w:val="center"/>
        </w:trPr>
        <w:tc>
          <w:tcPr>
            <w:tcW w:w="289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469B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Style w:val="9"/>
                <w:rFonts w:hint="default" w:ascii="仿宋_gb2312" w:hAnsi="Times New Roman" w:eastAsia="仿宋_gb2312" w:cs="仿宋_gb2312"/>
                <w:color w:val="000000"/>
                <w:kern w:val="0"/>
                <w:sz w:val="28"/>
                <w:szCs w:val="28"/>
                <w:bdr w:val="none" w:color="auto" w:sz="0" w:space="0"/>
                <w:lang w:val="en-US" w:eastAsia="zh-CN" w:bidi="ar"/>
              </w:rPr>
              <w:t>招生类别</w:t>
            </w:r>
          </w:p>
        </w:tc>
        <w:tc>
          <w:tcPr>
            <w:tcW w:w="3404" w:type="dxa"/>
            <w:tcBorders>
              <w:top w:val="single" w:color="000000" w:sz="8" w:space="0"/>
              <w:left w:val="nil"/>
              <w:bottom w:val="single" w:color="000000" w:sz="8" w:space="0"/>
              <w:right w:val="single" w:color="000000" w:sz="8" w:space="0"/>
            </w:tcBorders>
            <w:shd w:val="clear"/>
            <w:tcMar>
              <w:left w:w="108" w:type="dxa"/>
              <w:right w:w="108" w:type="dxa"/>
            </w:tcMar>
            <w:vAlign w:val="center"/>
          </w:tcPr>
          <w:p w14:paraId="68B9C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Style w:val="9"/>
                <w:rFonts w:hint="default" w:ascii="仿宋_gb2312" w:hAnsi="Times New Roman" w:eastAsia="仿宋_gb2312" w:cs="仿宋_gb2312"/>
                <w:color w:val="000000"/>
                <w:kern w:val="0"/>
                <w:sz w:val="28"/>
                <w:szCs w:val="28"/>
                <w:bdr w:val="none" w:color="auto" w:sz="0" w:space="0"/>
                <w:lang w:val="en-US" w:eastAsia="zh-CN" w:bidi="ar"/>
              </w:rPr>
              <w:t>招生专业代码及名称</w:t>
            </w:r>
          </w:p>
        </w:tc>
        <w:tc>
          <w:tcPr>
            <w:tcW w:w="2438" w:type="dxa"/>
            <w:tcBorders>
              <w:top w:val="single" w:color="000000" w:sz="8" w:space="0"/>
              <w:left w:val="nil"/>
              <w:bottom w:val="single" w:color="000000" w:sz="8" w:space="0"/>
              <w:right w:val="single" w:color="000000" w:sz="8" w:space="0"/>
            </w:tcBorders>
            <w:shd w:val="clear"/>
            <w:tcMar>
              <w:left w:w="108" w:type="dxa"/>
              <w:right w:w="108" w:type="dxa"/>
            </w:tcMar>
            <w:vAlign w:val="center"/>
          </w:tcPr>
          <w:p w14:paraId="176F0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Style w:val="9"/>
                <w:rFonts w:hint="default" w:ascii="仿宋_gb2312" w:hAnsi="Times New Roman" w:eastAsia="仿宋_gb2312" w:cs="仿宋_gb2312"/>
                <w:color w:val="000000"/>
                <w:kern w:val="0"/>
                <w:sz w:val="28"/>
                <w:szCs w:val="28"/>
                <w:bdr w:val="none" w:color="auto" w:sz="0" w:space="0"/>
                <w:lang w:val="en-US" w:eastAsia="zh-CN" w:bidi="ar"/>
              </w:rPr>
              <w:t>拟招收人数</w:t>
            </w:r>
          </w:p>
        </w:tc>
      </w:tr>
      <w:tr w14:paraId="571920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91"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3DFE40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Fonts w:hint="default" w:ascii="仿宋_gb2312" w:hAnsi="Times New Roman" w:eastAsia="仿宋_gb2312" w:cs="仿宋_gb2312"/>
                <w:color w:val="000000"/>
                <w:kern w:val="0"/>
                <w:sz w:val="28"/>
                <w:szCs w:val="28"/>
                <w:bdr w:val="none" w:color="auto" w:sz="0" w:space="0"/>
                <w:lang w:val="en-US" w:eastAsia="zh-CN" w:bidi="ar"/>
              </w:rPr>
              <w:t>普通计划</w:t>
            </w:r>
          </w:p>
        </w:tc>
        <w:tc>
          <w:tcPr>
            <w:tcW w:w="3404" w:type="dxa"/>
            <w:tcBorders>
              <w:top w:val="nil"/>
              <w:left w:val="nil"/>
              <w:bottom w:val="single" w:color="000000" w:sz="8" w:space="0"/>
              <w:right w:val="single" w:color="000000" w:sz="8" w:space="0"/>
            </w:tcBorders>
            <w:shd w:val="clear"/>
            <w:tcMar>
              <w:left w:w="108" w:type="dxa"/>
              <w:right w:w="108" w:type="dxa"/>
            </w:tcMar>
            <w:vAlign w:val="center"/>
          </w:tcPr>
          <w:p w14:paraId="426E8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Fonts w:hint="default" w:ascii="仿宋_gb2312" w:hAnsi="Times New Roman" w:eastAsia="仿宋_gb2312" w:cs="仿宋_gb2312"/>
                <w:color w:val="000000"/>
                <w:kern w:val="0"/>
                <w:sz w:val="28"/>
                <w:szCs w:val="28"/>
                <w:bdr w:val="none" w:color="auto" w:sz="0" w:space="0"/>
                <w:lang w:val="en-US" w:eastAsia="zh-CN" w:bidi="ar"/>
              </w:rPr>
              <w:t>050200 外国语言文学</w:t>
            </w:r>
          </w:p>
        </w:tc>
        <w:tc>
          <w:tcPr>
            <w:tcW w:w="2438" w:type="dxa"/>
            <w:tcBorders>
              <w:top w:val="nil"/>
              <w:left w:val="nil"/>
              <w:bottom w:val="single" w:color="000000" w:sz="8" w:space="0"/>
              <w:right w:val="single" w:color="000000" w:sz="8" w:space="0"/>
            </w:tcBorders>
            <w:shd w:val="clear"/>
            <w:tcMar>
              <w:left w:w="108" w:type="dxa"/>
              <w:right w:w="108" w:type="dxa"/>
            </w:tcMar>
            <w:vAlign w:val="center"/>
          </w:tcPr>
          <w:p w14:paraId="3F22F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Fonts w:hint="default" w:ascii="仿宋_gb2312" w:hAnsi="Times New Roman" w:eastAsia="仿宋_gb2312" w:cs="仿宋_gb2312"/>
                <w:color w:val="000000"/>
                <w:kern w:val="0"/>
                <w:sz w:val="28"/>
                <w:szCs w:val="28"/>
                <w:bdr w:val="none" w:color="auto" w:sz="0" w:space="0"/>
                <w:lang w:val="en-US" w:eastAsia="zh-CN" w:bidi="ar"/>
              </w:rPr>
              <w:t>8</w:t>
            </w:r>
          </w:p>
        </w:tc>
      </w:tr>
      <w:tr w14:paraId="3C9C62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91"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177E1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Fonts w:hint="default" w:ascii="仿宋_gb2312" w:hAnsi="Times New Roman" w:eastAsia="仿宋_gb2312" w:cs="仿宋_gb2312"/>
                <w:color w:val="000000"/>
                <w:kern w:val="0"/>
                <w:sz w:val="28"/>
                <w:szCs w:val="28"/>
                <w:bdr w:val="none" w:color="auto" w:sz="0" w:space="0"/>
                <w:lang w:val="en-US" w:eastAsia="zh-CN" w:bidi="ar"/>
              </w:rPr>
              <w:t>少民骨干</w:t>
            </w:r>
          </w:p>
        </w:tc>
        <w:tc>
          <w:tcPr>
            <w:tcW w:w="3404" w:type="dxa"/>
            <w:tcBorders>
              <w:top w:val="nil"/>
              <w:left w:val="nil"/>
              <w:bottom w:val="single" w:color="000000" w:sz="8" w:space="0"/>
              <w:right w:val="single" w:color="000000" w:sz="8" w:space="0"/>
            </w:tcBorders>
            <w:shd w:val="clear"/>
            <w:tcMar>
              <w:left w:w="108" w:type="dxa"/>
              <w:right w:w="108" w:type="dxa"/>
            </w:tcMar>
            <w:vAlign w:val="center"/>
          </w:tcPr>
          <w:p w14:paraId="0AB55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Fonts w:hint="default" w:ascii="仿宋_gb2312" w:hAnsi="Times New Roman" w:eastAsia="仿宋_gb2312" w:cs="仿宋_gb2312"/>
                <w:color w:val="000000"/>
                <w:kern w:val="0"/>
                <w:sz w:val="28"/>
                <w:szCs w:val="28"/>
                <w:bdr w:val="none" w:color="auto" w:sz="0" w:space="0"/>
                <w:lang w:val="en-US" w:eastAsia="zh-CN" w:bidi="ar"/>
              </w:rPr>
              <w:t>050200 外国语言文学</w:t>
            </w:r>
          </w:p>
        </w:tc>
        <w:tc>
          <w:tcPr>
            <w:tcW w:w="2438" w:type="dxa"/>
            <w:tcBorders>
              <w:top w:val="nil"/>
              <w:left w:val="nil"/>
              <w:bottom w:val="single" w:color="000000" w:sz="8" w:space="0"/>
              <w:right w:val="single" w:color="000000" w:sz="8" w:space="0"/>
            </w:tcBorders>
            <w:shd w:val="clear"/>
            <w:tcMar>
              <w:left w:w="108" w:type="dxa"/>
              <w:right w:w="108" w:type="dxa"/>
            </w:tcMar>
            <w:vAlign w:val="center"/>
          </w:tcPr>
          <w:p w14:paraId="26FA16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Fonts w:hint="default" w:ascii="仿宋_gb2312" w:hAnsi="Times New Roman" w:eastAsia="仿宋_gb2312" w:cs="仿宋_gb2312"/>
                <w:color w:val="000000"/>
                <w:kern w:val="0"/>
                <w:sz w:val="28"/>
                <w:szCs w:val="28"/>
                <w:bdr w:val="none" w:color="auto" w:sz="0" w:space="0"/>
                <w:lang w:val="en-US" w:eastAsia="zh-CN" w:bidi="ar"/>
              </w:rPr>
              <w:t>2</w:t>
            </w:r>
          </w:p>
        </w:tc>
      </w:tr>
      <w:tr w14:paraId="5B0D97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91" w:type="dxa"/>
            <w:tcBorders>
              <w:top w:val="nil"/>
              <w:left w:val="single" w:color="000000" w:sz="8" w:space="0"/>
              <w:bottom w:val="single" w:color="000000" w:sz="8" w:space="0"/>
              <w:right w:val="single" w:color="000000" w:sz="8" w:space="0"/>
            </w:tcBorders>
            <w:shd w:val="clear"/>
            <w:tcMar>
              <w:left w:w="108" w:type="dxa"/>
              <w:right w:w="108" w:type="dxa"/>
            </w:tcMar>
            <w:vAlign w:val="center"/>
          </w:tcPr>
          <w:p w14:paraId="33200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Fonts w:hint="default" w:ascii="仿宋_gb2312" w:hAnsi="Times New Roman" w:eastAsia="仿宋_gb2312" w:cs="仿宋_gb2312"/>
                <w:color w:val="000000"/>
                <w:kern w:val="0"/>
                <w:sz w:val="28"/>
                <w:szCs w:val="28"/>
                <w:bdr w:val="none" w:color="auto" w:sz="0" w:space="0"/>
                <w:lang w:val="en-US" w:eastAsia="zh-CN" w:bidi="ar"/>
              </w:rPr>
              <w:t>对口支援</w:t>
            </w:r>
          </w:p>
        </w:tc>
        <w:tc>
          <w:tcPr>
            <w:tcW w:w="3404" w:type="dxa"/>
            <w:tcBorders>
              <w:top w:val="nil"/>
              <w:left w:val="nil"/>
              <w:bottom w:val="single" w:color="000000" w:sz="8" w:space="0"/>
              <w:right w:val="single" w:color="000000" w:sz="8" w:space="0"/>
            </w:tcBorders>
            <w:shd w:val="clear"/>
            <w:tcMar>
              <w:left w:w="108" w:type="dxa"/>
              <w:right w:w="108" w:type="dxa"/>
            </w:tcMar>
            <w:vAlign w:val="center"/>
          </w:tcPr>
          <w:p w14:paraId="0C1FC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Fonts w:hint="default" w:ascii="仿宋_gb2312" w:hAnsi="Times New Roman" w:eastAsia="仿宋_gb2312" w:cs="仿宋_gb2312"/>
                <w:color w:val="000000"/>
                <w:kern w:val="0"/>
                <w:sz w:val="28"/>
                <w:szCs w:val="28"/>
                <w:bdr w:val="none" w:color="auto" w:sz="0" w:space="0"/>
                <w:lang w:val="en-US" w:eastAsia="zh-CN" w:bidi="ar"/>
              </w:rPr>
              <w:t>050200 外国语言文学</w:t>
            </w:r>
          </w:p>
        </w:tc>
        <w:tc>
          <w:tcPr>
            <w:tcW w:w="2438" w:type="dxa"/>
            <w:tcBorders>
              <w:top w:val="nil"/>
              <w:left w:val="nil"/>
              <w:bottom w:val="single" w:color="000000" w:sz="8" w:space="0"/>
              <w:right w:val="single" w:color="000000" w:sz="8" w:space="0"/>
            </w:tcBorders>
            <w:shd w:val="clear"/>
            <w:tcMar>
              <w:left w:w="108" w:type="dxa"/>
              <w:right w:w="108" w:type="dxa"/>
            </w:tcMar>
            <w:vAlign w:val="center"/>
          </w:tcPr>
          <w:p w14:paraId="13B0E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0"/>
              <w:jc w:val="center"/>
              <w:rPr>
                <w:rFonts w:hint="default" w:ascii="Times New Roman" w:hAnsi="Times New Roman" w:cs="Times New Roman"/>
                <w:color w:val="333333"/>
                <w:sz w:val="24"/>
                <w:szCs w:val="24"/>
              </w:rPr>
            </w:pPr>
            <w:r>
              <w:rPr>
                <w:rFonts w:hint="default" w:ascii="仿宋_gb2312" w:hAnsi="Times New Roman" w:eastAsia="仿宋_gb2312" w:cs="仿宋_gb2312"/>
                <w:color w:val="000000"/>
                <w:kern w:val="0"/>
                <w:sz w:val="28"/>
                <w:szCs w:val="28"/>
                <w:bdr w:val="none" w:color="auto" w:sz="0" w:space="0"/>
                <w:lang w:val="en-US" w:eastAsia="zh-CN" w:bidi="ar"/>
              </w:rPr>
              <w:t>1</w:t>
            </w:r>
          </w:p>
        </w:tc>
      </w:tr>
    </w:tbl>
    <w:p w14:paraId="038912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4"/>
          <w:szCs w:val="24"/>
        </w:rPr>
      </w:pPr>
      <w:r>
        <w:rPr>
          <w:rStyle w:val="9"/>
          <w:rFonts w:hint="eastAsia" w:ascii="仿宋" w:hAnsi="仿宋" w:eastAsia="仿宋" w:cs="仿宋"/>
          <w:i w:val="0"/>
          <w:iCs w:val="0"/>
          <w:caps w:val="0"/>
          <w:color w:val="000000"/>
          <w:spacing w:val="0"/>
          <w:sz w:val="32"/>
          <w:szCs w:val="32"/>
          <w:bdr w:val="none" w:color="auto" w:sz="0" w:space="0"/>
        </w:rPr>
        <w:t>招生计划为参考数，最终计划以教育部下达学校计划后确定的实际计划为准。具体招生计划在综合考核办法中明确。</w:t>
      </w:r>
    </w:p>
    <w:p w14:paraId="5836FE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4"/>
          <w:szCs w:val="24"/>
        </w:rPr>
      </w:pPr>
      <w:r>
        <w:rPr>
          <w:rStyle w:val="9"/>
          <w:rFonts w:hint="eastAsia" w:ascii="仿宋" w:hAnsi="仿宋" w:eastAsia="仿宋" w:cs="仿宋"/>
          <w:i w:val="0"/>
          <w:iCs w:val="0"/>
          <w:caps w:val="0"/>
          <w:color w:val="000000"/>
          <w:spacing w:val="0"/>
          <w:sz w:val="32"/>
          <w:szCs w:val="32"/>
          <w:bdr w:val="none" w:color="auto" w:sz="0" w:space="0"/>
          <w:lang w:val="en-US"/>
        </w:rPr>
        <w:t> </w:t>
      </w:r>
    </w:p>
    <w:p w14:paraId="40BB13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4"/>
          <w:szCs w:val="24"/>
        </w:rPr>
      </w:pPr>
      <w:r>
        <w:rPr>
          <w:rStyle w:val="9"/>
          <w:rFonts w:hint="eastAsia" w:ascii="仿宋" w:hAnsi="仿宋" w:eastAsia="仿宋" w:cs="仿宋"/>
          <w:i w:val="0"/>
          <w:iCs w:val="0"/>
          <w:caps w:val="0"/>
          <w:color w:val="000000"/>
          <w:spacing w:val="0"/>
          <w:sz w:val="32"/>
          <w:szCs w:val="32"/>
          <w:bdr w:val="none" w:color="auto" w:sz="0" w:space="0"/>
        </w:rPr>
        <w:t>四、报名条件</w:t>
      </w:r>
    </w:p>
    <w:p w14:paraId="2C699D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（一）中华人民共和国公民，拥护中国共产党领导，具有正确的政治方向，热爱祖国，愿意为社会主义现代化建设服务，遵纪守法，品行端正。</w:t>
      </w:r>
    </w:p>
    <w:p w14:paraId="0C6BD2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（二）具有硕士学位。应届硕士毕业生须在入学报到前取得硕士学位，境外获得的硕士学位须在入学报到前提交教育部留学服务中心国外（境外）学历学位认证证明。</w:t>
      </w:r>
    </w:p>
    <w:p w14:paraId="7AEA23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（三）有扎实的专业基础、较强的科学研究能力，发表过一定水平的专业学术论文。</w:t>
      </w:r>
    </w:p>
    <w:p w14:paraId="748B86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（四）外语水平应达到下述规定的要求。</w:t>
      </w:r>
    </w:p>
    <w:p w14:paraId="25921A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lang w:val="en-US"/>
        </w:rPr>
        <w:t>1.</w:t>
      </w:r>
      <w:r>
        <w:rPr>
          <w:rFonts w:hint="default" w:ascii="仿宋_gb2312" w:hAnsi="微软雅黑" w:eastAsia="仿宋_gb2312" w:cs="仿宋_gb2312"/>
          <w:i w:val="0"/>
          <w:iCs w:val="0"/>
          <w:caps w:val="0"/>
          <w:color w:val="000000"/>
          <w:spacing w:val="0"/>
          <w:sz w:val="28"/>
          <w:szCs w:val="28"/>
          <w:bdr w:val="none" w:color="auto" w:sz="0" w:space="0"/>
        </w:rPr>
        <w:t>英语水平应达到下列要求之一：</w:t>
      </w:r>
    </w:p>
    <w:p w14:paraId="706F90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非英语专业：全国大学英语六级考试</w:t>
      </w:r>
      <w:r>
        <w:rPr>
          <w:rFonts w:hint="eastAsia" w:ascii="微软雅黑" w:hAnsi="微软雅黑" w:eastAsia="微软雅黑" w:cs="微软雅黑"/>
          <w:i w:val="0"/>
          <w:iCs w:val="0"/>
          <w:caps w:val="0"/>
          <w:color w:val="000000"/>
          <w:spacing w:val="0"/>
          <w:sz w:val="20"/>
          <w:szCs w:val="20"/>
          <w:bdr w:val="none" w:color="auto" w:sz="0" w:space="0"/>
          <w:lang w:val="en-US"/>
        </w:rPr>
        <w:t>CET-6</w:t>
      </w:r>
      <w:r>
        <w:rPr>
          <w:rFonts w:hint="default" w:ascii="仿宋_gb2312" w:hAnsi="微软雅黑" w:eastAsia="仿宋_gb2312" w:cs="仿宋_gb2312"/>
          <w:i w:val="0"/>
          <w:iCs w:val="0"/>
          <w:caps w:val="0"/>
          <w:color w:val="000000"/>
          <w:spacing w:val="0"/>
          <w:sz w:val="28"/>
          <w:szCs w:val="28"/>
          <w:bdr w:val="none" w:color="auto" w:sz="0" w:space="0"/>
        </w:rPr>
        <w:t>≥</w:t>
      </w:r>
      <w:r>
        <w:rPr>
          <w:rFonts w:hint="eastAsia" w:ascii="微软雅黑" w:hAnsi="微软雅黑" w:eastAsia="微软雅黑" w:cs="微软雅黑"/>
          <w:i w:val="0"/>
          <w:iCs w:val="0"/>
          <w:caps w:val="0"/>
          <w:color w:val="000000"/>
          <w:spacing w:val="0"/>
          <w:sz w:val="20"/>
          <w:szCs w:val="20"/>
          <w:bdr w:val="none" w:color="auto" w:sz="0" w:space="0"/>
          <w:lang w:val="en-US"/>
        </w:rPr>
        <w:t>500</w:t>
      </w:r>
      <w:r>
        <w:rPr>
          <w:rFonts w:hint="default" w:ascii="仿宋_gb2312" w:hAnsi="微软雅黑" w:eastAsia="仿宋_gb2312" w:cs="仿宋_gb2312"/>
          <w:i w:val="0"/>
          <w:iCs w:val="0"/>
          <w:caps w:val="0"/>
          <w:color w:val="000000"/>
          <w:spacing w:val="0"/>
          <w:sz w:val="28"/>
          <w:szCs w:val="28"/>
          <w:bdr w:val="none" w:color="auto" w:sz="0" w:space="0"/>
        </w:rPr>
        <w:t>分；托福</w:t>
      </w:r>
      <w:r>
        <w:rPr>
          <w:rFonts w:hint="eastAsia" w:ascii="微软雅黑" w:hAnsi="微软雅黑" w:eastAsia="微软雅黑" w:cs="微软雅黑"/>
          <w:i w:val="0"/>
          <w:iCs w:val="0"/>
          <w:caps w:val="0"/>
          <w:color w:val="000000"/>
          <w:spacing w:val="0"/>
          <w:sz w:val="20"/>
          <w:szCs w:val="20"/>
          <w:bdr w:val="none" w:color="auto" w:sz="0" w:space="0"/>
          <w:lang w:val="en-US"/>
        </w:rPr>
        <w:t>TOEFL</w:t>
      </w:r>
      <w:r>
        <w:rPr>
          <w:rFonts w:hint="default" w:ascii="仿宋_gb2312" w:hAnsi="微软雅黑" w:eastAsia="仿宋_gb2312" w:cs="仿宋_gb2312"/>
          <w:i w:val="0"/>
          <w:iCs w:val="0"/>
          <w:caps w:val="0"/>
          <w:color w:val="000000"/>
          <w:spacing w:val="0"/>
          <w:sz w:val="28"/>
          <w:szCs w:val="28"/>
          <w:bdr w:val="none" w:color="auto" w:sz="0" w:space="0"/>
        </w:rPr>
        <w:t>≥</w:t>
      </w:r>
      <w:r>
        <w:rPr>
          <w:rFonts w:hint="eastAsia" w:ascii="微软雅黑" w:hAnsi="微软雅黑" w:eastAsia="微软雅黑" w:cs="微软雅黑"/>
          <w:i w:val="0"/>
          <w:iCs w:val="0"/>
          <w:caps w:val="0"/>
          <w:color w:val="000000"/>
          <w:spacing w:val="0"/>
          <w:sz w:val="20"/>
          <w:szCs w:val="20"/>
          <w:bdr w:val="none" w:color="auto" w:sz="0" w:space="0"/>
          <w:lang w:val="en-US"/>
        </w:rPr>
        <w:t>80/550</w:t>
      </w:r>
      <w:r>
        <w:rPr>
          <w:rFonts w:hint="default" w:ascii="仿宋_gb2312" w:hAnsi="微软雅黑" w:eastAsia="仿宋_gb2312" w:cs="仿宋_gb2312"/>
          <w:i w:val="0"/>
          <w:iCs w:val="0"/>
          <w:caps w:val="0"/>
          <w:color w:val="000000"/>
          <w:spacing w:val="0"/>
          <w:sz w:val="28"/>
          <w:szCs w:val="28"/>
          <w:bdr w:val="none" w:color="auto" w:sz="0" w:space="0"/>
        </w:rPr>
        <w:t>分；雅思</w:t>
      </w:r>
      <w:r>
        <w:rPr>
          <w:rFonts w:hint="eastAsia" w:ascii="微软雅黑" w:hAnsi="微软雅黑" w:eastAsia="微软雅黑" w:cs="微软雅黑"/>
          <w:i w:val="0"/>
          <w:iCs w:val="0"/>
          <w:caps w:val="0"/>
          <w:color w:val="000000"/>
          <w:spacing w:val="0"/>
          <w:sz w:val="20"/>
          <w:szCs w:val="20"/>
          <w:bdr w:val="none" w:color="auto" w:sz="0" w:space="0"/>
          <w:lang w:val="en-US"/>
        </w:rPr>
        <w:t>IELTS</w:t>
      </w:r>
      <w:r>
        <w:rPr>
          <w:rFonts w:hint="default" w:ascii="仿宋_gb2312" w:hAnsi="微软雅黑" w:eastAsia="仿宋_gb2312" w:cs="仿宋_gb2312"/>
          <w:i w:val="0"/>
          <w:iCs w:val="0"/>
          <w:caps w:val="0"/>
          <w:color w:val="000000"/>
          <w:spacing w:val="0"/>
          <w:sz w:val="28"/>
          <w:szCs w:val="28"/>
          <w:bdr w:val="none" w:color="auto" w:sz="0" w:space="0"/>
        </w:rPr>
        <w:t>≥</w:t>
      </w:r>
      <w:r>
        <w:rPr>
          <w:rFonts w:hint="eastAsia" w:ascii="微软雅黑" w:hAnsi="微软雅黑" w:eastAsia="微软雅黑" w:cs="微软雅黑"/>
          <w:i w:val="0"/>
          <w:iCs w:val="0"/>
          <w:caps w:val="0"/>
          <w:color w:val="000000"/>
          <w:spacing w:val="0"/>
          <w:sz w:val="20"/>
          <w:szCs w:val="20"/>
          <w:bdr w:val="none" w:color="auto" w:sz="0" w:space="0"/>
          <w:lang w:val="en-US"/>
        </w:rPr>
        <w:t>6.0</w:t>
      </w:r>
      <w:r>
        <w:rPr>
          <w:rFonts w:hint="default" w:ascii="仿宋_gb2312" w:hAnsi="微软雅黑" w:eastAsia="仿宋_gb2312" w:cs="仿宋_gb2312"/>
          <w:i w:val="0"/>
          <w:iCs w:val="0"/>
          <w:caps w:val="0"/>
          <w:color w:val="000000"/>
          <w:spacing w:val="0"/>
          <w:sz w:val="28"/>
          <w:szCs w:val="28"/>
          <w:bdr w:val="none" w:color="auto" w:sz="0" w:space="0"/>
        </w:rPr>
        <w:t>；</w:t>
      </w:r>
      <w:r>
        <w:rPr>
          <w:rFonts w:hint="eastAsia" w:ascii="微软雅黑" w:hAnsi="微软雅黑" w:eastAsia="微软雅黑" w:cs="微软雅黑"/>
          <w:i w:val="0"/>
          <w:iCs w:val="0"/>
          <w:caps w:val="0"/>
          <w:color w:val="000000"/>
          <w:spacing w:val="0"/>
          <w:sz w:val="20"/>
          <w:szCs w:val="20"/>
          <w:bdr w:val="none" w:color="auto" w:sz="0" w:space="0"/>
          <w:lang w:val="en-US"/>
        </w:rPr>
        <w:t>GRE</w:t>
      </w:r>
      <w:r>
        <w:rPr>
          <w:rFonts w:hint="default" w:ascii="仿宋_gb2312" w:hAnsi="微软雅黑" w:eastAsia="仿宋_gb2312" w:cs="仿宋_gb2312"/>
          <w:i w:val="0"/>
          <w:iCs w:val="0"/>
          <w:caps w:val="0"/>
          <w:color w:val="000000"/>
          <w:spacing w:val="0"/>
          <w:sz w:val="28"/>
          <w:szCs w:val="28"/>
          <w:bdr w:val="none" w:color="auto" w:sz="0" w:space="0"/>
        </w:rPr>
        <w:t>≥</w:t>
      </w:r>
      <w:r>
        <w:rPr>
          <w:rFonts w:hint="eastAsia" w:ascii="微软雅黑" w:hAnsi="微软雅黑" w:eastAsia="微软雅黑" w:cs="微软雅黑"/>
          <w:i w:val="0"/>
          <w:iCs w:val="0"/>
          <w:caps w:val="0"/>
          <w:color w:val="000000"/>
          <w:spacing w:val="0"/>
          <w:sz w:val="20"/>
          <w:szCs w:val="20"/>
          <w:bdr w:val="none" w:color="auto" w:sz="0" w:space="0"/>
          <w:lang w:val="en-US"/>
        </w:rPr>
        <w:t>260/1300</w:t>
      </w:r>
      <w:r>
        <w:rPr>
          <w:rFonts w:hint="default" w:ascii="仿宋_gb2312" w:hAnsi="微软雅黑" w:eastAsia="仿宋_gb2312" w:cs="仿宋_gb2312"/>
          <w:i w:val="0"/>
          <w:iCs w:val="0"/>
          <w:caps w:val="0"/>
          <w:color w:val="000000"/>
          <w:spacing w:val="0"/>
          <w:sz w:val="28"/>
          <w:szCs w:val="28"/>
          <w:bdr w:val="none" w:color="auto" w:sz="0" w:space="0"/>
        </w:rPr>
        <w:t>分；</w:t>
      </w:r>
      <w:r>
        <w:rPr>
          <w:rFonts w:hint="eastAsia" w:ascii="微软雅黑" w:hAnsi="微软雅黑" w:eastAsia="微软雅黑" w:cs="微软雅黑"/>
          <w:i w:val="0"/>
          <w:iCs w:val="0"/>
          <w:caps w:val="0"/>
          <w:color w:val="000000"/>
          <w:spacing w:val="0"/>
          <w:sz w:val="20"/>
          <w:szCs w:val="20"/>
          <w:bdr w:val="none" w:color="auto" w:sz="0" w:space="0"/>
          <w:lang w:val="en-US"/>
        </w:rPr>
        <w:t>WSK (PETS5) </w:t>
      </w:r>
      <w:r>
        <w:rPr>
          <w:rFonts w:hint="default" w:ascii="仿宋_gb2312" w:hAnsi="微软雅黑" w:eastAsia="仿宋_gb2312" w:cs="仿宋_gb2312"/>
          <w:i w:val="0"/>
          <w:iCs w:val="0"/>
          <w:caps w:val="0"/>
          <w:color w:val="000000"/>
          <w:spacing w:val="0"/>
          <w:sz w:val="28"/>
          <w:szCs w:val="28"/>
          <w:bdr w:val="none" w:color="auto" w:sz="0" w:space="0"/>
        </w:rPr>
        <w:t>≥</w:t>
      </w:r>
      <w:r>
        <w:rPr>
          <w:rFonts w:hint="eastAsia" w:ascii="微软雅黑" w:hAnsi="微软雅黑" w:eastAsia="微软雅黑" w:cs="微软雅黑"/>
          <w:i w:val="0"/>
          <w:iCs w:val="0"/>
          <w:caps w:val="0"/>
          <w:color w:val="000000"/>
          <w:spacing w:val="0"/>
          <w:sz w:val="20"/>
          <w:szCs w:val="20"/>
          <w:bdr w:val="none" w:color="auto" w:sz="0" w:space="0"/>
          <w:lang w:val="en-US"/>
        </w:rPr>
        <w:t>60</w:t>
      </w:r>
      <w:r>
        <w:rPr>
          <w:rFonts w:hint="default" w:ascii="仿宋_gb2312" w:hAnsi="微软雅黑" w:eastAsia="仿宋_gb2312" w:cs="仿宋_gb2312"/>
          <w:i w:val="0"/>
          <w:iCs w:val="0"/>
          <w:caps w:val="0"/>
          <w:color w:val="000000"/>
          <w:spacing w:val="0"/>
          <w:sz w:val="28"/>
          <w:szCs w:val="28"/>
          <w:bdr w:val="none" w:color="auto" w:sz="0" w:space="0"/>
        </w:rPr>
        <w:t>分；</w:t>
      </w:r>
    </w:p>
    <w:p w14:paraId="76BD08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英语专业：英语专业四级或八级考试</w:t>
      </w:r>
      <w:r>
        <w:rPr>
          <w:rFonts w:hint="eastAsia" w:ascii="微软雅黑" w:hAnsi="微软雅黑" w:eastAsia="微软雅黑" w:cs="微软雅黑"/>
          <w:i w:val="0"/>
          <w:iCs w:val="0"/>
          <w:caps w:val="0"/>
          <w:color w:val="000000"/>
          <w:spacing w:val="0"/>
          <w:sz w:val="20"/>
          <w:szCs w:val="20"/>
          <w:bdr w:val="none" w:color="auto" w:sz="0" w:space="0"/>
          <w:lang w:val="en-US"/>
        </w:rPr>
        <w:t>TEM4/TEM8</w:t>
      </w:r>
      <w:r>
        <w:rPr>
          <w:rFonts w:hint="default" w:ascii="仿宋_gb2312" w:hAnsi="微软雅黑" w:eastAsia="仿宋_gb2312" w:cs="仿宋_gb2312"/>
          <w:i w:val="0"/>
          <w:iCs w:val="0"/>
          <w:caps w:val="0"/>
          <w:color w:val="000000"/>
          <w:spacing w:val="0"/>
          <w:sz w:val="28"/>
          <w:szCs w:val="28"/>
          <w:bdr w:val="none" w:color="auto" w:sz="0" w:space="0"/>
        </w:rPr>
        <w:t>≥</w:t>
      </w:r>
      <w:r>
        <w:rPr>
          <w:rFonts w:hint="eastAsia" w:ascii="微软雅黑" w:hAnsi="微软雅黑" w:eastAsia="微软雅黑" w:cs="微软雅黑"/>
          <w:i w:val="0"/>
          <w:iCs w:val="0"/>
          <w:caps w:val="0"/>
          <w:color w:val="000000"/>
          <w:spacing w:val="0"/>
          <w:sz w:val="20"/>
          <w:szCs w:val="20"/>
          <w:bdr w:val="none" w:color="auto" w:sz="0" w:space="0"/>
          <w:lang w:val="en-US"/>
        </w:rPr>
        <w:t>60</w:t>
      </w:r>
      <w:r>
        <w:rPr>
          <w:rFonts w:hint="default" w:ascii="仿宋_gb2312" w:hAnsi="微软雅黑" w:eastAsia="仿宋_gb2312" w:cs="仿宋_gb2312"/>
          <w:i w:val="0"/>
          <w:iCs w:val="0"/>
          <w:caps w:val="0"/>
          <w:color w:val="000000"/>
          <w:spacing w:val="0"/>
          <w:sz w:val="28"/>
          <w:szCs w:val="28"/>
          <w:bdr w:val="none" w:color="auto" w:sz="0" w:space="0"/>
        </w:rPr>
        <w:t>分。</w:t>
      </w:r>
    </w:p>
    <w:p w14:paraId="089049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lang w:val="en-US"/>
        </w:rPr>
        <w:t>2.</w:t>
      </w:r>
      <w:r>
        <w:rPr>
          <w:rFonts w:hint="default" w:ascii="仿宋_gb2312" w:hAnsi="微软雅黑" w:eastAsia="仿宋_gb2312" w:cs="仿宋_gb2312"/>
          <w:i w:val="0"/>
          <w:iCs w:val="0"/>
          <w:caps w:val="0"/>
          <w:color w:val="000000"/>
          <w:spacing w:val="0"/>
          <w:sz w:val="28"/>
          <w:szCs w:val="28"/>
          <w:bdr w:val="none" w:color="auto" w:sz="0" w:space="0"/>
        </w:rPr>
        <w:t>其它语种应达到的水平要求，参照执行。</w:t>
      </w:r>
    </w:p>
    <w:p w14:paraId="390F5A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lang w:val="en-US"/>
        </w:rPr>
        <w:t>3.</w:t>
      </w:r>
      <w:r>
        <w:rPr>
          <w:rFonts w:hint="default" w:ascii="仿宋_gb2312" w:hAnsi="微软雅黑" w:eastAsia="仿宋_gb2312" w:cs="仿宋_gb2312"/>
          <w:i w:val="0"/>
          <w:iCs w:val="0"/>
          <w:caps w:val="0"/>
          <w:color w:val="000000"/>
          <w:spacing w:val="0"/>
          <w:sz w:val="28"/>
          <w:szCs w:val="28"/>
          <w:bdr w:val="none" w:color="auto" w:sz="0" w:space="0"/>
        </w:rPr>
        <w:t>符合下列条件之一者，可认定为达到要求：</w:t>
      </w:r>
    </w:p>
    <w:p w14:paraId="1F3467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以第一作者身份在外文国际期刊上发表过专业学术论文，或以主译者身份翻译出版过学术著作（翻译字数不低于</w:t>
      </w:r>
      <w:r>
        <w:rPr>
          <w:rFonts w:hint="eastAsia" w:ascii="微软雅黑" w:hAnsi="微软雅黑" w:eastAsia="微软雅黑" w:cs="微软雅黑"/>
          <w:i w:val="0"/>
          <w:iCs w:val="0"/>
          <w:caps w:val="0"/>
          <w:color w:val="000000"/>
          <w:spacing w:val="0"/>
          <w:sz w:val="20"/>
          <w:szCs w:val="20"/>
          <w:bdr w:val="none" w:color="auto" w:sz="0" w:space="0"/>
          <w:lang w:val="en-US"/>
        </w:rPr>
        <w:t>1</w:t>
      </w:r>
      <w:r>
        <w:rPr>
          <w:rFonts w:hint="default" w:ascii="仿宋_gb2312" w:hAnsi="微软雅黑" w:eastAsia="仿宋_gb2312" w:cs="仿宋_gb2312"/>
          <w:i w:val="0"/>
          <w:iCs w:val="0"/>
          <w:caps w:val="0"/>
          <w:color w:val="000000"/>
          <w:spacing w:val="0"/>
          <w:sz w:val="28"/>
          <w:szCs w:val="28"/>
          <w:bdr w:val="none" w:color="auto" w:sz="0" w:space="0"/>
        </w:rPr>
        <w:t>万字）等；在国外留学并获得教育部学位学历认证，或在国外有</w:t>
      </w:r>
      <w:r>
        <w:rPr>
          <w:rFonts w:hint="eastAsia" w:ascii="微软雅黑" w:hAnsi="微软雅黑" w:eastAsia="微软雅黑" w:cs="微软雅黑"/>
          <w:i w:val="0"/>
          <w:iCs w:val="0"/>
          <w:caps w:val="0"/>
          <w:color w:val="000000"/>
          <w:spacing w:val="0"/>
          <w:sz w:val="20"/>
          <w:szCs w:val="20"/>
          <w:bdr w:val="none" w:color="auto" w:sz="0" w:space="0"/>
          <w:lang w:val="en-US"/>
        </w:rPr>
        <w:t>1</w:t>
      </w:r>
      <w:r>
        <w:rPr>
          <w:rFonts w:hint="default" w:ascii="仿宋_gb2312" w:hAnsi="微软雅黑" w:eastAsia="仿宋_gb2312" w:cs="仿宋_gb2312"/>
          <w:i w:val="0"/>
          <w:iCs w:val="0"/>
          <w:caps w:val="0"/>
          <w:color w:val="000000"/>
          <w:spacing w:val="0"/>
          <w:sz w:val="28"/>
          <w:szCs w:val="28"/>
          <w:bdr w:val="none" w:color="auto" w:sz="0" w:space="0"/>
        </w:rPr>
        <w:t>年及以上学习经历（需提供国外学习经历的证明和成绩单）。</w:t>
      </w:r>
    </w:p>
    <w:p w14:paraId="2A20F2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lang w:val="en-US"/>
        </w:rPr>
        <w:t>4.</w:t>
      </w:r>
      <w:r>
        <w:rPr>
          <w:rFonts w:hint="default" w:ascii="仿宋_gb2312" w:hAnsi="微软雅黑" w:eastAsia="仿宋_gb2312" w:cs="仿宋_gb2312"/>
          <w:i w:val="0"/>
          <w:iCs w:val="0"/>
          <w:caps w:val="0"/>
          <w:color w:val="000000"/>
          <w:spacing w:val="0"/>
          <w:sz w:val="28"/>
          <w:szCs w:val="28"/>
          <w:bdr w:val="none" w:color="auto" w:sz="0" w:space="0"/>
        </w:rPr>
        <w:t>少数民族骨干人才计划考生、对口支援计划考生特别优秀者外语要求可放宽至</w:t>
      </w:r>
      <w:r>
        <w:rPr>
          <w:rFonts w:hint="eastAsia" w:ascii="微软雅黑" w:hAnsi="微软雅黑" w:eastAsia="微软雅黑" w:cs="微软雅黑"/>
          <w:i w:val="0"/>
          <w:iCs w:val="0"/>
          <w:caps w:val="0"/>
          <w:color w:val="000000"/>
          <w:spacing w:val="0"/>
          <w:sz w:val="20"/>
          <w:szCs w:val="20"/>
          <w:bdr w:val="none" w:color="auto" w:sz="0" w:space="0"/>
          <w:lang w:val="en-US"/>
        </w:rPr>
        <w:t>CET-4</w:t>
      </w:r>
      <w:r>
        <w:rPr>
          <w:rFonts w:hint="default" w:ascii="仿宋_gb2312" w:hAnsi="微软雅黑" w:eastAsia="仿宋_gb2312" w:cs="仿宋_gb2312"/>
          <w:i w:val="0"/>
          <w:iCs w:val="0"/>
          <w:caps w:val="0"/>
          <w:color w:val="000000"/>
          <w:spacing w:val="0"/>
          <w:sz w:val="28"/>
          <w:szCs w:val="28"/>
          <w:bdr w:val="none" w:color="auto" w:sz="0" w:space="0"/>
        </w:rPr>
        <w:t>≥</w:t>
      </w:r>
      <w:r>
        <w:rPr>
          <w:rFonts w:hint="eastAsia" w:ascii="微软雅黑" w:hAnsi="微软雅黑" w:eastAsia="微软雅黑" w:cs="微软雅黑"/>
          <w:i w:val="0"/>
          <w:iCs w:val="0"/>
          <w:caps w:val="0"/>
          <w:color w:val="000000"/>
          <w:spacing w:val="0"/>
          <w:sz w:val="20"/>
          <w:szCs w:val="20"/>
          <w:bdr w:val="none" w:color="auto" w:sz="0" w:space="0"/>
          <w:lang w:val="en-US"/>
        </w:rPr>
        <w:t>425</w:t>
      </w:r>
      <w:r>
        <w:rPr>
          <w:rFonts w:hint="default" w:ascii="仿宋_gb2312" w:hAnsi="微软雅黑" w:eastAsia="仿宋_gb2312" w:cs="仿宋_gb2312"/>
          <w:i w:val="0"/>
          <w:iCs w:val="0"/>
          <w:caps w:val="0"/>
          <w:color w:val="000000"/>
          <w:spacing w:val="0"/>
          <w:sz w:val="28"/>
          <w:szCs w:val="28"/>
          <w:bdr w:val="none" w:color="auto" w:sz="0" w:space="0"/>
        </w:rPr>
        <w:t>分。</w:t>
      </w:r>
    </w:p>
    <w:p w14:paraId="39E2DC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（五）身心健康。</w:t>
      </w:r>
    </w:p>
    <w:p w14:paraId="3B7BD6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（六）少数民族骨干人才计划考生、对口支援计划考生需符合学校简章规定的其他条件。</w:t>
      </w:r>
    </w:p>
    <w:p w14:paraId="5C80A7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4"/>
          <w:szCs w:val="24"/>
        </w:rPr>
      </w:pPr>
      <w:r>
        <w:rPr>
          <w:rStyle w:val="9"/>
          <w:rFonts w:hint="eastAsia" w:ascii="仿宋" w:hAnsi="仿宋" w:eastAsia="仿宋" w:cs="仿宋"/>
          <w:i w:val="0"/>
          <w:iCs w:val="0"/>
          <w:caps w:val="0"/>
          <w:color w:val="000000"/>
          <w:spacing w:val="0"/>
          <w:sz w:val="32"/>
          <w:szCs w:val="32"/>
          <w:bdr w:val="none" w:color="auto" w:sz="0" w:space="0"/>
        </w:rPr>
        <w:t>五、报名</w:t>
      </w:r>
    </w:p>
    <w:p w14:paraId="7E617F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（一）申请人仔细阅读西南大学</w:t>
      </w:r>
      <w:r>
        <w:rPr>
          <w:rFonts w:hint="eastAsia" w:ascii="微软雅黑" w:hAnsi="微软雅黑" w:eastAsia="微软雅黑" w:cs="微软雅黑"/>
          <w:i w:val="0"/>
          <w:iCs w:val="0"/>
          <w:caps w:val="0"/>
          <w:color w:val="000000"/>
          <w:spacing w:val="0"/>
          <w:sz w:val="20"/>
          <w:szCs w:val="20"/>
          <w:bdr w:val="none" w:color="auto" w:sz="0" w:space="0"/>
          <w:lang w:val="en-US"/>
        </w:rPr>
        <w:t>2025</w:t>
      </w:r>
      <w:r>
        <w:rPr>
          <w:rFonts w:hint="default" w:ascii="仿宋_gb2312" w:hAnsi="微软雅黑" w:eastAsia="仿宋_gb2312" w:cs="仿宋_gb2312"/>
          <w:i w:val="0"/>
          <w:iCs w:val="0"/>
          <w:caps w:val="0"/>
          <w:color w:val="000000"/>
          <w:spacing w:val="0"/>
          <w:sz w:val="28"/>
          <w:szCs w:val="28"/>
          <w:bdr w:val="none" w:color="auto" w:sz="0" w:space="0"/>
        </w:rPr>
        <w:t>年度博士研究生招生章程，按要求于</w:t>
      </w:r>
      <w:r>
        <w:rPr>
          <w:rFonts w:hint="eastAsia" w:ascii="微软雅黑" w:hAnsi="微软雅黑" w:eastAsia="微软雅黑" w:cs="微软雅黑"/>
          <w:i w:val="0"/>
          <w:iCs w:val="0"/>
          <w:caps w:val="0"/>
          <w:color w:val="000000"/>
          <w:spacing w:val="0"/>
          <w:sz w:val="20"/>
          <w:szCs w:val="20"/>
          <w:bdr w:val="none" w:color="auto" w:sz="0" w:space="0"/>
          <w:lang w:val="en-US"/>
        </w:rPr>
        <w:t>2025</w:t>
      </w:r>
      <w:r>
        <w:rPr>
          <w:rFonts w:hint="default" w:ascii="仿宋_gb2312" w:hAnsi="微软雅黑" w:eastAsia="仿宋_gb2312" w:cs="仿宋_gb2312"/>
          <w:i w:val="0"/>
          <w:iCs w:val="0"/>
          <w:caps w:val="0"/>
          <w:color w:val="000000"/>
          <w:spacing w:val="0"/>
          <w:sz w:val="28"/>
          <w:szCs w:val="28"/>
          <w:bdr w:val="none" w:color="auto" w:sz="0" w:space="0"/>
        </w:rPr>
        <w:t>年</w:t>
      </w:r>
      <w:r>
        <w:rPr>
          <w:rFonts w:hint="eastAsia" w:ascii="微软雅黑" w:hAnsi="微软雅黑" w:eastAsia="微软雅黑" w:cs="微软雅黑"/>
          <w:i w:val="0"/>
          <w:iCs w:val="0"/>
          <w:caps w:val="0"/>
          <w:color w:val="000000"/>
          <w:spacing w:val="0"/>
          <w:sz w:val="20"/>
          <w:szCs w:val="20"/>
          <w:bdr w:val="none" w:color="auto" w:sz="0" w:space="0"/>
          <w:lang w:val="en-US"/>
        </w:rPr>
        <w:t>1</w:t>
      </w:r>
      <w:r>
        <w:rPr>
          <w:rFonts w:hint="default" w:ascii="仿宋_gb2312" w:hAnsi="微软雅黑" w:eastAsia="仿宋_gb2312" w:cs="仿宋_gb2312"/>
          <w:i w:val="0"/>
          <w:iCs w:val="0"/>
          <w:caps w:val="0"/>
          <w:color w:val="000000"/>
          <w:spacing w:val="0"/>
          <w:sz w:val="28"/>
          <w:szCs w:val="28"/>
          <w:bdr w:val="none" w:color="auto" w:sz="0" w:space="0"/>
        </w:rPr>
        <w:t>月</w:t>
      </w:r>
      <w:r>
        <w:rPr>
          <w:rFonts w:hint="eastAsia" w:ascii="微软雅黑" w:hAnsi="微软雅黑" w:eastAsia="微软雅黑" w:cs="微软雅黑"/>
          <w:i w:val="0"/>
          <w:iCs w:val="0"/>
          <w:caps w:val="0"/>
          <w:color w:val="000000"/>
          <w:spacing w:val="0"/>
          <w:sz w:val="20"/>
          <w:szCs w:val="20"/>
          <w:bdr w:val="none" w:color="auto" w:sz="0" w:space="0"/>
          <w:lang w:val="en-US"/>
        </w:rPr>
        <w:t>8</w:t>
      </w:r>
      <w:r>
        <w:rPr>
          <w:rFonts w:hint="default" w:ascii="仿宋_gb2312" w:hAnsi="微软雅黑" w:eastAsia="仿宋_gb2312" w:cs="仿宋_gb2312"/>
          <w:i w:val="0"/>
          <w:iCs w:val="0"/>
          <w:caps w:val="0"/>
          <w:color w:val="000000"/>
          <w:spacing w:val="0"/>
          <w:sz w:val="28"/>
          <w:szCs w:val="28"/>
          <w:bdr w:val="none" w:color="auto" w:sz="0" w:space="0"/>
        </w:rPr>
        <w:t>日至</w:t>
      </w:r>
      <w:r>
        <w:rPr>
          <w:rFonts w:hint="eastAsia" w:ascii="微软雅黑" w:hAnsi="微软雅黑" w:eastAsia="微软雅黑" w:cs="微软雅黑"/>
          <w:i w:val="0"/>
          <w:iCs w:val="0"/>
          <w:caps w:val="0"/>
          <w:color w:val="000000"/>
          <w:spacing w:val="0"/>
          <w:sz w:val="20"/>
          <w:szCs w:val="20"/>
          <w:bdr w:val="none" w:color="auto" w:sz="0" w:space="0"/>
          <w:lang w:val="en-US"/>
        </w:rPr>
        <w:t>2025</w:t>
      </w:r>
      <w:r>
        <w:rPr>
          <w:rFonts w:hint="default" w:ascii="仿宋_gb2312" w:hAnsi="微软雅黑" w:eastAsia="仿宋_gb2312" w:cs="仿宋_gb2312"/>
          <w:i w:val="0"/>
          <w:iCs w:val="0"/>
          <w:caps w:val="0"/>
          <w:color w:val="000000"/>
          <w:spacing w:val="0"/>
          <w:sz w:val="28"/>
          <w:szCs w:val="28"/>
          <w:bdr w:val="none" w:color="auto" w:sz="0" w:space="0"/>
        </w:rPr>
        <w:t>年</w:t>
      </w:r>
      <w:r>
        <w:rPr>
          <w:rFonts w:hint="eastAsia" w:ascii="微软雅黑" w:hAnsi="微软雅黑" w:eastAsia="微软雅黑" w:cs="微软雅黑"/>
          <w:i w:val="0"/>
          <w:iCs w:val="0"/>
          <w:caps w:val="0"/>
          <w:color w:val="000000"/>
          <w:spacing w:val="0"/>
          <w:sz w:val="20"/>
          <w:szCs w:val="20"/>
          <w:bdr w:val="none" w:color="auto" w:sz="0" w:space="0"/>
          <w:lang w:val="en-US"/>
        </w:rPr>
        <w:t>3</w:t>
      </w:r>
      <w:r>
        <w:rPr>
          <w:rFonts w:hint="default" w:ascii="仿宋_gb2312" w:hAnsi="微软雅黑" w:eastAsia="仿宋_gb2312" w:cs="仿宋_gb2312"/>
          <w:i w:val="0"/>
          <w:iCs w:val="0"/>
          <w:caps w:val="0"/>
          <w:color w:val="000000"/>
          <w:spacing w:val="0"/>
          <w:sz w:val="28"/>
          <w:szCs w:val="28"/>
          <w:bdr w:val="none" w:color="auto" w:sz="0" w:space="0"/>
        </w:rPr>
        <w:t>月</w:t>
      </w:r>
      <w:r>
        <w:rPr>
          <w:rFonts w:hint="eastAsia" w:ascii="微软雅黑" w:hAnsi="微软雅黑" w:eastAsia="微软雅黑" w:cs="微软雅黑"/>
          <w:i w:val="0"/>
          <w:iCs w:val="0"/>
          <w:caps w:val="0"/>
          <w:color w:val="000000"/>
          <w:spacing w:val="0"/>
          <w:sz w:val="20"/>
          <w:szCs w:val="20"/>
          <w:bdr w:val="none" w:color="auto" w:sz="0" w:space="0"/>
          <w:lang w:val="en-US"/>
        </w:rPr>
        <w:t>14</w:t>
      </w:r>
      <w:r>
        <w:rPr>
          <w:rFonts w:hint="default" w:ascii="仿宋_gb2312" w:hAnsi="微软雅黑" w:eastAsia="仿宋_gb2312" w:cs="仿宋_gb2312"/>
          <w:i w:val="0"/>
          <w:iCs w:val="0"/>
          <w:caps w:val="0"/>
          <w:color w:val="000000"/>
          <w:spacing w:val="0"/>
          <w:sz w:val="28"/>
          <w:szCs w:val="28"/>
          <w:bdr w:val="none" w:color="auto" w:sz="0" w:space="0"/>
        </w:rPr>
        <w:t>日登录西南大学博士研究生招生报名网站进行报名缴费，完整如实填写和提交报名信息，按要求完成网上信息校验。报名考试费一旦缴纳，不再办理退款手续。网报时间内未支付报名费视为报名无效。</w:t>
      </w:r>
    </w:p>
    <w:p w14:paraId="41CA96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6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28"/>
          <w:szCs w:val="28"/>
          <w:bdr w:val="none" w:color="auto" w:sz="0" w:space="0"/>
        </w:rPr>
        <w:t>（二）报名成功后，下载《博士学位研究生网上报名信息简表》，确认无误并签字。</w:t>
      </w:r>
    </w:p>
    <w:p w14:paraId="11D57F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24"/>
          <w:szCs w:val="24"/>
        </w:rPr>
      </w:pPr>
      <w:r>
        <w:rPr>
          <w:rStyle w:val="9"/>
          <w:rFonts w:hint="eastAsia" w:ascii="仿宋" w:hAnsi="仿宋" w:eastAsia="仿宋" w:cs="仿宋"/>
          <w:i w:val="0"/>
          <w:iCs w:val="0"/>
          <w:caps w:val="0"/>
          <w:color w:val="000000"/>
          <w:spacing w:val="0"/>
          <w:sz w:val="32"/>
          <w:szCs w:val="32"/>
          <w:bdr w:val="none" w:color="auto" w:sz="0" w:space="0"/>
        </w:rPr>
        <w:t>六、提交材料</w:t>
      </w:r>
    </w:p>
    <w:p w14:paraId="03DC3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1.博士学位研究生网上报名信息简表。</w:t>
      </w:r>
    </w:p>
    <w:p w14:paraId="2BB77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2.考生本人签字确认的有效身份证正反面复印件。</w:t>
      </w:r>
    </w:p>
    <w:p w14:paraId="4B8C6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3.政治思想情况审核表。</w:t>
      </w:r>
    </w:p>
    <w:p w14:paraId="3FDC73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4.学籍学历材料。</w:t>
      </w:r>
    </w:p>
    <w:p w14:paraId="30426F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应届硕士毕业生提交《教育部学籍在线验证报告》，入学前须补交《教育部学历证书电子注册备案表》；</w:t>
      </w:r>
    </w:p>
    <w:p w14:paraId="587B8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毕业生提交最高学历、学位证书复印件；</w:t>
      </w:r>
    </w:p>
    <w:p w14:paraId="48189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网上报名未通过学历校验的考生，还需提交《中国高等教育学历认证报告》或《教育部学历证书电子注册备案表》；</w:t>
      </w:r>
    </w:p>
    <w:p w14:paraId="5728EF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只有学位证书而无毕业证书者，还需提交硕士学位认证报告；</w:t>
      </w:r>
    </w:p>
    <w:p w14:paraId="7176B1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国（境）外获得学位考生还需提交教育部留学服务中心出具的《国（境）外学历学位认证书》复印件或提交能够在入学前取得该认证书的承诺书。</w:t>
      </w:r>
    </w:p>
    <w:p w14:paraId="437A5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5.硕士阶段正式成绩单原件。</w:t>
      </w:r>
    </w:p>
    <w:p w14:paraId="223B8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6.硕士学位论文全文，或应届毕业生硕士学位论文详细摘要。</w:t>
      </w:r>
    </w:p>
    <w:p w14:paraId="05161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7.代表性学术成果复印件。</w:t>
      </w:r>
    </w:p>
    <w:p w14:paraId="6FF9C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8.外语水平证明材料复印件。</w:t>
      </w:r>
    </w:p>
    <w:p w14:paraId="6025D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9.个人陈述。</w:t>
      </w:r>
    </w:p>
    <w:p w14:paraId="58E8A3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包括研究计划、学术背景、研究经历、申请理由、参与的科研项目简介及自己在其中的贡献等，不少于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3000</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字。</w:t>
      </w:r>
    </w:p>
    <w:p w14:paraId="31A7B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10.两名所报考学科专业领域内的教授</w:t>
      </w: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或相当专业技术职称的专家</w:t>
      </w: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的书面推荐信，须分别密封并由推荐专家在封口骑缝处签字。</w:t>
      </w:r>
    </w:p>
    <w:p w14:paraId="06852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11.选择报考普通计划定向就业的考生，须提供所在单位人事部门出具的证明其为本单位在职在编教学或科研人员、保证其在校脱产学习时间不少于两年的证明材料原件。</w:t>
      </w:r>
    </w:p>
    <w:p w14:paraId="27F8D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12.少数民族骨干计划考生、对口支援计划考生除提交以上材料外，还需按照招生简章要求提交相应的专项计划所需材料。</w:t>
      </w:r>
    </w:p>
    <w:p w14:paraId="05D22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申请材料须全部用</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A4</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纸打印或复印，按材料顺序一并装订成册，于</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2025</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年</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月</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日前用</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EMS</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或顺丰快递</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寄送至西南大学外国语学院，并在邮件封面上注明“考生姓名</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博士申请考核制材料”。请确保材料完整，不接受补充材料。收件地址：重庆市北碚区西南大学外国语学院</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314</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办公室，收件人：吴老师，邮编：</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400715,</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联系电话：</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023-68250136</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w:t>
      </w:r>
    </w:p>
    <w:p w14:paraId="63AA5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2"/>
        <w:jc w:val="both"/>
        <w:rPr>
          <w:rFonts w:hint="default" w:ascii="Times New Roman" w:hAnsi="Times New Roman" w:cs="Times New Roman"/>
          <w:i w:val="0"/>
          <w:iCs w:val="0"/>
          <w:caps w:val="0"/>
          <w:color w:val="333333"/>
          <w:spacing w:val="0"/>
          <w:sz w:val="24"/>
          <w:szCs w:val="24"/>
        </w:rPr>
      </w:pP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所有材料须扫描为</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pdf</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格式，按材料顺序命名</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（例如</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01.</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考生姓名</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博士学位研究生网上报名信息简表，</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考生姓名</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身份证复印件，</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），于</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2025</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年</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月</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日前</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将电子版材料以“</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考生姓名</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报考专业</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Style w:val="9"/>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意向导师”</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命名打包压缩发送至邮箱：77868478@qq.com，联系人：吴老师，电话：</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023-68250136</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w:t>
      </w:r>
    </w:p>
    <w:p w14:paraId="7BD534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0" w:lineRule="atLeast"/>
        <w:ind w:left="0" w:right="0" w:firstLine="643"/>
        <w:jc w:val="both"/>
        <w:rPr>
          <w:rFonts w:hint="default" w:ascii="Times New Roman" w:hAnsi="Times New Roman" w:cs="Times New Roman"/>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七、材料审核</w:t>
      </w:r>
    </w:p>
    <w:p w14:paraId="22FD77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（一）学院以一级学科成立材料审核小组，具体负责考生材料审核。</w:t>
      </w:r>
    </w:p>
    <w:p w14:paraId="6A00B3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100</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分。以报考的一级学科为单位根据材料审核成绩由高到低排序，按照一定比例择优确定进入综合考核的考生名单。</w:t>
      </w:r>
    </w:p>
    <w:p w14:paraId="593F8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材料审核成绩</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外语成绩×</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30%+</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专业基础×</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70%</w:t>
      </w:r>
    </w:p>
    <w:p w14:paraId="1C01A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（二）申请者务必保证申请材料的真实性和准确性，如发现申请者提供的材料有弄虚作假情况，将取消其申请资格、录取资格。</w:t>
      </w:r>
    </w:p>
    <w:p w14:paraId="031970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（三）学院完成材料审核工作后，将在学院网站公布进入综合考核的考生名单，公示期不少于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个工作日。公示无异议者进入综合考核环节。</w:t>
      </w:r>
    </w:p>
    <w:p w14:paraId="75E2B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0" w:lineRule="atLeast"/>
        <w:ind w:left="0" w:right="0" w:firstLine="643"/>
        <w:jc w:val="both"/>
        <w:rPr>
          <w:rFonts w:hint="default" w:ascii="Times New Roman" w:hAnsi="Times New Roman" w:cs="Times New Roman"/>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八、综合考核</w:t>
      </w:r>
    </w:p>
    <w:p w14:paraId="75486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通过材料审查评价的“申请</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考核制”考生，统一参加综合考核。</w:t>
      </w:r>
    </w:p>
    <w:p w14:paraId="266A4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进入综合考核阶段的考生，综合考核时需向学院提交核验以下材料原件：身份证原件；最高学历、学位证书原件；外语水平证明材料原件；代表性学术成果原件。</w:t>
      </w:r>
    </w:p>
    <w:p w14:paraId="16C9DC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（一）综合考核时间、地点</w:t>
      </w:r>
    </w:p>
    <w:p w14:paraId="15488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具体安排另行通知。</w:t>
      </w:r>
    </w:p>
    <w:p w14:paraId="17743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（二）综合考核内容</w:t>
      </w:r>
    </w:p>
    <w:p w14:paraId="2C63C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为科学、公平、公正地进行博士生招生考试的综合考核和录取，我院综合考核成绩采用量化的方式进行。综合考核内容包括外语水平、专业知识、创新能力、综合素质（含思想品德及身心健康）。</w:t>
      </w:r>
    </w:p>
    <w:p w14:paraId="6BD2F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（三）综合考核方式</w:t>
      </w:r>
    </w:p>
    <w:p w14:paraId="0D12B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综合考核采用综合面试形式进行。</w:t>
      </w:r>
    </w:p>
    <w:p w14:paraId="5F950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（四）综合考核成绩</w:t>
      </w:r>
    </w:p>
    <w:p w14:paraId="1C087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综合考核总成绩满分为</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100</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分。</w:t>
      </w:r>
    </w:p>
    <w:p w14:paraId="0095B5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综合考核成绩</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外语水平</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*30%+</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专业知识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创新能力</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综合素质</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*30%</w:t>
      </w:r>
    </w:p>
    <w:p w14:paraId="04A17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综合成绩以一级学科</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为单位从高到低依次排序。</w:t>
      </w:r>
    </w:p>
    <w:p w14:paraId="15E9B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0" w:lineRule="atLeast"/>
        <w:ind w:left="0" w:right="0" w:firstLine="643"/>
        <w:jc w:val="both"/>
        <w:rPr>
          <w:rFonts w:hint="default" w:ascii="Times New Roman" w:hAnsi="Times New Roman" w:cs="Times New Roman"/>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九、拟录取名单确定及公示</w:t>
      </w:r>
    </w:p>
    <w:p w14:paraId="2F23B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（一）拟录取方式</w:t>
      </w:r>
    </w:p>
    <w:p w14:paraId="31A1CE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学院在综合评定申请人思想品德和政治素质基础上，按照一级学科，即在同一一级学科按照申请人最终成绩由高到低的顺序依次录取。</w:t>
      </w:r>
    </w:p>
    <w:p w14:paraId="260F1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（二）调剂</w:t>
      </w:r>
    </w:p>
    <w:p w14:paraId="067AE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无合格生源的导师，优先调剂本学科综合成绩排名靠前的考生。如考生不同意调剂，则视为自动放弃录取资格，按照成绩排序依次递补。</w:t>
      </w:r>
    </w:p>
    <w:p w14:paraId="70396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无合格生源，导师也不同意接收调剂生，其招生计划由学院博士招生工作领导小组和综合考核小组讨论后分配到合格生源较多的导师名下。</w:t>
      </w:r>
    </w:p>
    <w:p w14:paraId="66556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个工作日。</w:t>
      </w:r>
    </w:p>
    <w:p w14:paraId="6E551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（四）凡有下列情况之一者，不得录取：</w:t>
      </w:r>
    </w:p>
    <w:p w14:paraId="3F657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1.</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思想品德素质考核不合格者；</w:t>
      </w:r>
    </w:p>
    <w:p w14:paraId="41B4F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2.</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体检等身心健康检查不合格者；</w:t>
      </w:r>
    </w:p>
    <w:p w14:paraId="144A6C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3.</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报考资格不符合规定者；</w:t>
      </w:r>
    </w:p>
    <w:p w14:paraId="18A2D8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4.</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未通过或未完成学历（学籍）审核的考生；</w:t>
      </w:r>
    </w:p>
    <w:p w14:paraId="67A455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5.</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报考、考核及录取过程中弄虚作假的；</w:t>
      </w:r>
    </w:p>
    <w:p w14:paraId="3B08E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6.</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应届硕士毕业生入学报到时未取得硕士学位的；</w:t>
      </w:r>
    </w:p>
    <w:p w14:paraId="4B831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7.</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报考定向就业的考生未按规定签订就业协议的；</w:t>
      </w:r>
    </w:p>
    <w:p w14:paraId="1050C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8.</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非定向就业考生未按要求将个人人事档案等转入学校的；</w:t>
      </w:r>
    </w:p>
    <w:p w14:paraId="49778D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eastAsia" w:ascii="微软雅黑" w:hAnsi="微软雅黑" w:eastAsia="微软雅黑" w:cs="微软雅黑"/>
          <w:i w:val="0"/>
          <w:iCs w:val="0"/>
          <w:caps w:val="0"/>
          <w:color w:val="000000"/>
          <w:spacing w:val="0"/>
          <w:kern w:val="0"/>
          <w:sz w:val="28"/>
          <w:szCs w:val="28"/>
          <w:bdr w:val="none" w:color="auto" w:sz="0" w:space="0"/>
          <w:lang w:val="en-US" w:eastAsia="zh-CN" w:bidi="ar"/>
        </w:rPr>
        <w:t>9.</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教育部、学校相关文件明确规定不予录取、取消录取资格或取消入学资格的其它情形。</w:t>
      </w:r>
    </w:p>
    <w:p w14:paraId="53F8D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643"/>
        <w:jc w:val="both"/>
        <w:rPr>
          <w:rFonts w:hint="default" w:ascii="Times New Roman" w:hAnsi="Times New Roman" w:cs="Times New Roman"/>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32"/>
          <w:szCs w:val="32"/>
          <w:bdr w:val="none" w:color="auto" w:sz="0" w:space="0"/>
          <w:lang w:val="en-US" w:eastAsia="zh-CN" w:bidi="ar"/>
        </w:rPr>
        <w:t>十、招生咨询与联系电话</w:t>
      </w:r>
    </w:p>
    <w:p w14:paraId="7F2DC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相关信息请查询西南大学研究生招生网（</w:t>
      </w:r>
      <w:r>
        <w:rPr>
          <w:rFonts w:hint="eastAsia" w:ascii="微软雅黑" w:hAnsi="微软雅黑" w:eastAsia="微软雅黑" w:cs="微软雅黑"/>
          <w:i w:val="0"/>
          <w:iCs w:val="0"/>
          <w:caps w:val="0"/>
          <w:color w:val="337AB7"/>
          <w:spacing w:val="0"/>
          <w:kern w:val="0"/>
          <w:sz w:val="20"/>
          <w:szCs w:val="20"/>
          <w:u w:val="none"/>
          <w:bdr w:val="none" w:color="auto" w:sz="0" w:space="0"/>
          <w:lang w:val="en-US" w:eastAsia="zh-CN" w:bidi="ar"/>
        </w:rPr>
        <w:fldChar w:fldCharType="begin"/>
      </w:r>
      <w:r>
        <w:rPr>
          <w:rFonts w:hint="eastAsia" w:ascii="微软雅黑" w:hAnsi="微软雅黑" w:eastAsia="微软雅黑" w:cs="微软雅黑"/>
          <w:i w:val="0"/>
          <w:iCs w:val="0"/>
          <w:caps w:val="0"/>
          <w:color w:val="337AB7"/>
          <w:spacing w:val="0"/>
          <w:kern w:val="0"/>
          <w:sz w:val="20"/>
          <w:szCs w:val="20"/>
          <w:u w:val="none"/>
          <w:bdr w:val="none" w:color="auto" w:sz="0" w:space="0"/>
          <w:lang w:val="en-US" w:eastAsia="zh-CN" w:bidi="ar"/>
        </w:rPr>
        <w:instrText xml:space="preserve"> HYPERLINK "http://yz.swu.edu.cn/" </w:instrText>
      </w:r>
      <w:r>
        <w:rPr>
          <w:rFonts w:hint="eastAsia" w:ascii="微软雅黑" w:hAnsi="微软雅黑" w:eastAsia="微软雅黑" w:cs="微软雅黑"/>
          <w:i w:val="0"/>
          <w:iCs w:val="0"/>
          <w:caps w:val="0"/>
          <w:color w:val="337AB7"/>
          <w:spacing w:val="0"/>
          <w:kern w:val="0"/>
          <w:sz w:val="20"/>
          <w:szCs w:val="20"/>
          <w:u w:val="none"/>
          <w:bdr w:val="none" w:color="auto" w:sz="0" w:space="0"/>
          <w:lang w:val="en-US" w:eastAsia="zh-CN" w:bidi="ar"/>
        </w:rPr>
        <w:fldChar w:fldCharType="separate"/>
      </w:r>
      <w:r>
        <w:rPr>
          <w:rStyle w:val="10"/>
          <w:rFonts w:hint="default" w:ascii="仿宋_gb2312" w:hAnsi="微软雅黑" w:eastAsia="仿宋_gb2312" w:cs="仿宋_gb2312"/>
          <w:i w:val="0"/>
          <w:iCs w:val="0"/>
          <w:caps w:val="0"/>
          <w:color w:val="000000"/>
          <w:spacing w:val="0"/>
          <w:sz w:val="28"/>
          <w:szCs w:val="28"/>
          <w:u w:val="none"/>
          <w:bdr w:val="none" w:color="auto" w:sz="0" w:space="0"/>
          <w:lang w:val="en-US"/>
        </w:rPr>
        <w:t>http://yz.swu.edu.cn/</w:t>
      </w:r>
      <w:r>
        <w:rPr>
          <w:rFonts w:hint="eastAsia" w:ascii="微软雅黑" w:hAnsi="微软雅黑" w:eastAsia="微软雅黑" w:cs="微软雅黑"/>
          <w:i w:val="0"/>
          <w:iCs w:val="0"/>
          <w:caps w:val="0"/>
          <w:color w:val="337AB7"/>
          <w:spacing w:val="0"/>
          <w:kern w:val="0"/>
          <w:sz w:val="20"/>
          <w:szCs w:val="20"/>
          <w:u w:val="none"/>
          <w:bdr w:val="none" w:color="auto" w:sz="0" w:space="0"/>
          <w:lang w:val="en-US" w:eastAsia="zh-CN" w:bidi="ar"/>
        </w:rPr>
        <w:fldChar w:fldCharType="end"/>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）和学院官网（</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http://foreign.swu.edu.cn/</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w:t>
      </w:r>
    </w:p>
    <w:p w14:paraId="5E800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咨询电话：</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023-68250136</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，联系人：吴老师</w:t>
      </w:r>
    </w:p>
    <w:p w14:paraId="601E3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0"/>
        <w:jc w:val="both"/>
        <w:rPr>
          <w:rFonts w:hint="default" w:ascii="Times New Roman" w:hAnsi="Times New Roman" w:cs="Times New Roman"/>
          <w:i w:val="0"/>
          <w:iCs w:val="0"/>
          <w:caps w:val="0"/>
          <w:color w:val="333333"/>
          <w:spacing w:val="0"/>
          <w:sz w:val="24"/>
          <w:szCs w:val="24"/>
        </w:rPr>
      </w:pP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办公地点：西南大学外国语学院</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314</w:t>
      </w:r>
      <w:r>
        <w:rPr>
          <w:rFonts w:hint="default" w:ascii="仿宋_gb2312" w:hAnsi="Times New Roman" w:eastAsia="仿宋_gb2312" w:cs="仿宋_gb2312"/>
          <w:i w:val="0"/>
          <w:iCs w:val="0"/>
          <w:caps w:val="0"/>
          <w:color w:val="000000"/>
          <w:spacing w:val="0"/>
          <w:kern w:val="0"/>
          <w:sz w:val="28"/>
          <w:szCs w:val="28"/>
          <w:bdr w:val="none" w:color="auto" w:sz="0" w:space="0"/>
          <w:lang w:val="en-US" w:eastAsia="zh-CN" w:bidi="ar"/>
        </w:rPr>
        <w:t>办公室。</w:t>
      </w:r>
    </w:p>
    <w:p w14:paraId="6774E0E4">
      <w:pPr>
        <w:rPr>
          <w:rFonts w:hint="eastAsia" w:ascii="微软雅黑" w:hAnsi="微软雅黑" w:eastAsia="微软雅黑" w:cs="微软雅黑"/>
          <w:i w:val="0"/>
          <w:iCs w:val="0"/>
          <w:caps w:val="0"/>
          <w:color w:val="951A1C"/>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C67A5C"/>
    <w:rsid w:val="19B5733A"/>
    <w:rsid w:val="20F2001C"/>
    <w:rsid w:val="34DC77C8"/>
    <w:rsid w:val="3541716C"/>
    <w:rsid w:val="46D92C4C"/>
    <w:rsid w:val="599154FE"/>
    <w:rsid w:val="5A1225D4"/>
    <w:rsid w:val="5E2D1110"/>
    <w:rsid w:val="6350047D"/>
    <w:rsid w:val="70CC631B"/>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1EB17A77213D43BEA71499C4E04DBC56_13</vt:lpwstr>
  </property>
  <property fmtid="{D5CDD505-2E9C-101B-9397-08002B2CF9AE}" pid="4" name="KSOTemplateDocerSaveRecord">
    <vt:lpwstr>eyJoZGlkIjoiYTFmNmVhOTkxNjMwODU5NTJlYjI4NDc1ZWVjNjRhZWUiLCJ1c2VySWQiOiIxNDE1NTEzMzA2In0=</vt:lpwstr>
  </property>
</Properties>
</file>