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ascii="Segoe UI" w:hAnsi="Segoe UI" w:eastAsia="Segoe UI" w:cs="Segoe UI"/>
          <w:b/>
          <w:bCs/>
          <w:i w:val="0"/>
          <w:iCs w:val="0"/>
          <w:caps w:val="0"/>
          <w:color w:val="333333"/>
          <w:spacing w:val="0"/>
          <w:sz w:val="33"/>
          <w:szCs w:val="33"/>
          <w:u w:val="none"/>
        </w:rPr>
      </w:pPr>
      <w:r>
        <w:rPr>
          <w:rFonts w:hint="default" w:ascii="Segoe UI" w:hAnsi="Segoe UI" w:eastAsia="Segoe UI" w:cs="Segoe UI"/>
          <w:b/>
          <w:bCs/>
          <w:i w:val="0"/>
          <w:iCs w:val="0"/>
          <w:caps w:val="0"/>
          <w:color w:val="333333"/>
          <w:spacing w:val="0"/>
          <w:sz w:val="33"/>
          <w:szCs w:val="33"/>
          <w:u w:val="none"/>
          <w:bdr w:val="none" w:color="auto" w:sz="0" w:space="0"/>
          <w:shd w:val="clear" w:fill="FFFFFF"/>
        </w:rPr>
        <w:t>电子科技大学智能计算研究院2024年博士研究生招生工作通知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根据《电子科技大学</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年博士研究生招生简章》和学校</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年博士生招生工作有关通知的要求，现将智能计算研究院</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年博士研究生招生工作相关安排通知如下：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55"/>
        <w:rPr>
          <w:rFonts w:hint="default" w:ascii="Segoe UI" w:hAnsi="Segoe UI" w:eastAsia="Segoe UI" w:cs="Segoe UI"/>
          <w:i w:val="0"/>
          <w:iCs w:val="0"/>
          <w:caps w:val="0"/>
          <w:color w:val="333333"/>
          <w:spacing w:val="0"/>
          <w:sz w:val="21"/>
          <w:szCs w:val="21"/>
        </w:rPr>
      </w:pPr>
      <w:r>
        <w:rPr>
          <w:rStyle w:val="8"/>
          <w:rFonts w:ascii="黑体" w:hAnsi="宋体" w:eastAsia="黑体" w:cs="黑体"/>
          <w:b/>
          <w:bCs/>
          <w:i w:val="0"/>
          <w:iCs w:val="0"/>
          <w:caps w:val="0"/>
          <w:color w:val="333333"/>
          <w:spacing w:val="0"/>
          <w:sz w:val="28"/>
          <w:szCs w:val="28"/>
          <w:bdr w:val="none" w:color="auto" w:sz="0" w:space="0"/>
          <w:shd w:val="clear" w:fill="FFFFFF"/>
        </w:rPr>
        <w:t>一、招生专业及计划</w:t>
      </w:r>
    </w:p>
    <w:p>
      <w:r>
        <w:drawing>
          <wp:inline distT="0" distB="0" distL="114300" distR="114300">
            <wp:extent cx="5273040" cy="1757680"/>
            <wp:effectExtent l="0" t="0" r="3810" b="13970"/>
            <wp:docPr id="60"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3"/>
                    <pic:cNvPicPr>
                      <a:picLocks noChangeAspect="1"/>
                    </pic:cNvPicPr>
                  </pic:nvPicPr>
                  <pic:blipFill>
                    <a:blip r:embed="rId4"/>
                    <a:stretch>
                      <a:fillRect/>
                    </a:stretch>
                  </pic:blipFill>
                  <pic:spPr>
                    <a:xfrm>
                      <a:off x="0" y="0"/>
                      <a:ext cx="5273040" cy="175768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555"/>
        <w:rPr>
          <w:rFonts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特别说明：拟招生人数是根据学院</w:t>
      </w:r>
      <w:r>
        <w:rPr>
          <w:rFonts w:hint="eastAsia" w:ascii="宋体" w:hAnsi="宋体" w:eastAsia="宋体" w:cs="宋体"/>
          <w:i w:val="0"/>
          <w:iCs w:val="0"/>
          <w:caps w:val="0"/>
          <w:color w:val="333333"/>
          <w:spacing w:val="0"/>
          <w:sz w:val="28"/>
          <w:szCs w:val="28"/>
          <w:bdr w:val="none" w:color="auto" w:sz="0" w:space="0"/>
          <w:shd w:val="clear" w:fill="FFFFFF"/>
          <w:lang w:val="en-US"/>
        </w:rPr>
        <w:t>2023</w:t>
      </w:r>
      <w:r>
        <w:rPr>
          <w:rFonts w:hint="eastAsia" w:ascii="宋体" w:hAnsi="宋体" w:eastAsia="宋体" w:cs="宋体"/>
          <w:i w:val="0"/>
          <w:iCs w:val="0"/>
          <w:caps w:val="0"/>
          <w:color w:val="333333"/>
          <w:spacing w:val="0"/>
          <w:sz w:val="28"/>
          <w:szCs w:val="28"/>
          <w:bdr w:val="none" w:color="auto" w:sz="0" w:space="0"/>
          <w:shd w:val="clear" w:fill="FFFFFF"/>
        </w:rPr>
        <w:t>年招生人数（含普通招考、硕博连读、直接攻博）约</w:t>
      </w:r>
      <w:r>
        <w:rPr>
          <w:rFonts w:hint="eastAsia" w:ascii="宋体" w:hAnsi="宋体" w:eastAsia="宋体" w:cs="宋体"/>
          <w:i w:val="0"/>
          <w:iCs w:val="0"/>
          <w:caps w:val="0"/>
          <w:color w:val="333333"/>
          <w:spacing w:val="0"/>
          <w:sz w:val="28"/>
          <w:szCs w:val="28"/>
          <w:bdr w:val="none" w:color="auto" w:sz="0" w:space="0"/>
          <w:shd w:val="clear" w:fill="FFFFFF"/>
          <w:lang w:val="en-US"/>
        </w:rPr>
        <w:t>80%</w:t>
      </w:r>
      <w:r>
        <w:rPr>
          <w:rFonts w:hint="eastAsia" w:ascii="宋体" w:hAnsi="宋体" w:eastAsia="宋体" w:cs="宋体"/>
          <w:i w:val="0"/>
          <w:iCs w:val="0"/>
          <w:caps w:val="0"/>
          <w:color w:val="333333"/>
          <w:spacing w:val="0"/>
          <w:sz w:val="28"/>
          <w:szCs w:val="28"/>
          <w:bdr w:val="none" w:color="auto" w:sz="0" w:space="0"/>
          <w:shd w:val="clear" w:fill="FFFFFF"/>
        </w:rPr>
        <w:t>测算，仅供参考。</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年学院博士生招生计划具体情况将以学校实际分配为准，一般在复试前确定。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招生计划相关要求按照学校有关规定和《电子科技大学</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年博士研究生招生简章》中的有关说明执行。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55"/>
        <w:rPr>
          <w:rFonts w:hint="default" w:ascii="Segoe UI" w:hAnsi="Segoe UI" w:eastAsia="Segoe UI" w:cs="Segoe UI"/>
          <w:i w:val="0"/>
          <w:iCs w:val="0"/>
          <w:caps w:val="0"/>
          <w:color w:val="333333"/>
          <w:spacing w:val="0"/>
          <w:sz w:val="21"/>
          <w:szCs w:val="21"/>
        </w:rPr>
      </w:pPr>
      <w:r>
        <w:rPr>
          <w:rStyle w:val="8"/>
          <w:rFonts w:ascii="黑体" w:hAnsi="宋体" w:eastAsia="黑体" w:cs="黑体"/>
          <w:b/>
          <w:bCs/>
          <w:i w:val="0"/>
          <w:iCs w:val="0"/>
          <w:caps w:val="0"/>
          <w:color w:val="333333"/>
          <w:spacing w:val="0"/>
          <w:sz w:val="28"/>
          <w:szCs w:val="28"/>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bdr w:val="none" w:color="auto" w:sz="0" w:space="0"/>
          <w:shd w:val="clear" w:fill="FFFFFF"/>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符合《电子科技大学</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年博士研究生招生简章》中要求的基本条件。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bdr w:val="none" w:color="auto" w:sz="0" w:space="0"/>
          <w:shd w:val="clear" w:fill="FFFFFF"/>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符合《电子科技大学</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年博士研究生招生简章》中要求的基本条件，完成学校和学院规定的课程学习和考核。硕博连读申请及报考具体要求另行通知。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sz w:val="28"/>
          <w:szCs w:val="28"/>
          <w:bdr w:val="none" w:color="auto" w:sz="0" w:space="0"/>
          <w:shd w:val="clear" w:fill="FFFFFF"/>
        </w:rPr>
        <w:t>（三）直接攻博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以直接攻博方式报考的基本条件按照学校和学院发布的关于接收</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55"/>
        <w:rPr>
          <w:rFonts w:hint="default" w:ascii="Segoe UI" w:hAnsi="Segoe UI" w:eastAsia="Segoe UI" w:cs="Segoe UI"/>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bdr w:val="none" w:color="auto" w:sz="0" w:space="0"/>
          <w:shd w:val="clear" w:fill="FFFFFF"/>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网上报名开始时间预计为</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月（直接攻博考生不需再填报）。具体时间详见后续学校发布的</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考生报名前务必仔细阅读《电子科技大学</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55"/>
        <w:rPr>
          <w:rFonts w:hint="default" w:ascii="Segoe UI" w:hAnsi="Segoe UI" w:eastAsia="Segoe UI" w:cs="Segoe UI"/>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bdr w:val="none" w:color="auto" w:sz="0" w:space="0"/>
          <w:shd w:val="clear" w:fill="FFFFFF"/>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请考生完成网上报名后认真准备申请材料，并按顺序整理后将申请材料提交（或寄送）到智能计算研究院综合管理办公室（清水河校区国际创新中心</w:t>
      </w:r>
      <w:r>
        <w:rPr>
          <w:rFonts w:hint="eastAsia" w:ascii="宋体" w:hAnsi="宋体" w:eastAsia="宋体" w:cs="宋体"/>
          <w:i w:val="0"/>
          <w:iCs w:val="0"/>
          <w:caps w:val="0"/>
          <w:color w:val="333333"/>
          <w:spacing w:val="0"/>
          <w:sz w:val="28"/>
          <w:szCs w:val="28"/>
          <w:bdr w:val="none" w:color="auto" w:sz="0" w:space="0"/>
          <w:shd w:val="clear" w:fill="FFFFFF"/>
          <w:lang w:val="en-US"/>
        </w:rPr>
        <w:t>C</w:t>
      </w:r>
      <w:r>
        <w:rPr>
          <w:rFonts w:hint="eastAsia" w:ascii="宋体" w:hAnsi="宋体" w:eastAsia="宋体" w:cs="宋体"/>
          <w:i w:val="0"/>
          <w:iCs w:val="0"/>
          <w:caps w:val="0"/>
          <w:color w:val="333333"/>
          <w:spacing w:val="0"/>
          <w:sz w:val="28"/>
          <w:szCs w:val="28"/>
          <w:bdr w:val="none" w:color="auto" w:sz="0" w:space="0"/>
          <w:shd w:val="clear" w:fill="FFFFFF"/>
        </w:rPr>
        <w:t>栋</w:t>
      </w:r>
      <w:r>
        <w:rPr>
          <w:rFonts w:hint="eastAsia" w:ascii="宋体" w:hAnsi="宋体" w:eastAsia="宋体" w:cs="宋体"/>
          <w:i w:val="0"/>
          <w:iCs w:val="0"/>
          <w:caps w:val="0"/>
          <w:color w:val="333333"/>
          <w:spacing w:val="0"/>
          <w:sz w:val="28"/>
          <w:szCs w:val="28"/>
          <w:bdr w:val="none" w:color="auto" w:sz="0" w:space="0"/>
          <w:shd w:val="clear" w:fill="FFFFFF"/>
          <w:lang w:val="en-US"/>
        </w:rPr>
        <w:t>608</w:t>
      </w:r>
      <w:r>
        <w:rPr>
          <w:rFonts w:hint="eastAsia" w:ascii="宋体" w:hAnsi="宋体" w:eastAsia="宋体" w:cs="宋体"/>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报名材料提交时间预计为</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月，材料提交时间、接收地址、邮编、联系人及电话等信息请以学校或研究院报名前发布的有关通知为准。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181818"/>
          <w:spacing w:val="0"/>
          <w:sz w:val="24"/>
          <w:szCs w:val="24"/>
          <w:bdr w:val="none" w:color="auto" w:sz="0" w:space="0"/>
          <w:shd w:val="clear" w:fill="FFFFFF"/>
        </w:rPr>
        <w:t>博士生报考申请主要材料</w:t>
      </w:r>
    </w:p>
    <w:p>
      <w:r>
        <w:drawing>
          <wp:inline distT="0" distB="0" distL="114300" distR="114300">
            <wp:extent cx="5269865" cy="8195945"/>
            <wp:effectExtent l="0" t="0" r="6985" b="14605"/>
            <wp:docPr id="61"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4"/>
                    <pic:cNvPicPr>
                      <a:picLocks noChangeAspect="1"/>
                    </pic:cNvPicPr>
                  </pic:nvPicPr>
                  <pic:blipFill>
                    <a:blip r:embed="rId5"/>
                    <a:stretch>
                      <a:fillRect/>
                    </a:stretch>
                  </pic:blipFill>
                  <pic:spPr>
                    <a:xfrm>
                      <a:off x="0" y="0"/>
                      <a:ext cx="5269865" cy="8195945"/>
                    </a:xfrm>
                    <a:prstGeom prst="rect">
                      <a:avLst/>
                    </a:prstGeom>
                    <a:noFill/>
                    <a:ln>
                      <a:noFill/>
                    </a:ln>
                  </pic:spPr>
                </pic:pic>
              </a:graphicData>
            </a:graphic>
          </wp:inline>
        </w:drawing>
      </w:r>
    </w:p>
    <w:p>
      <w:r>
        <w:drawing>
          <wp:inline distT="0" distB="0" distL="114300" distR="114300">
            <wp:extent cx="5271770" cy="7731760"/>
            <wp:effectExtent l="0" t="0" r="5080" b="2540"/>
            <wp:docPr id="6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5"/>
                    <pic:cNvPicPr>
                      <a:picLocks noChangeAspect="1"/>
                    </pic:cNvPicPr>
                  </pic:nvPicPr>
                  <pic:blipFill>
                    <a:blip r:embed="rId6"/>
                    <a:stretch>
                      <a:fillRect/>
                    </a:stretch>
                  </pic:blipFill>
                  <pic:spPr>
                    <a:xfrm>
                      <a:off x="0" y="0"/>
                      <a:ext cx="5271770" cy="773176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80" w:lineRule="atLeast"/>
        <w:ind w:left="0" w:right="0" w:firstLine="555"/>
        <w:rPr>
          <w:rFonts w:ascii="Segoe UI" w:hAnsi="Segoe UI" w:eastAsia="Segoe UI" w:cs="Segoe UI"/>
          <w:i w:val="0"/>
          <w:iCs w:val="0"/>
          <w:caps w:val="0"/>
          <w:color w:val="333333"/>
          <w:spacing w:val="0"/>
          <w:sz w:val="21"/>
          <w:szCs w:val="21"/>
        </w:rPr>
      </w:pPr>
      <w:r>
        <w:rPr>
          <w:rStyle w:val="8"/>
          <w:rFonts w:ascii="黑体" w:hAnsi="宋体" w:eastAsia="黑体" w:cs="黑体"/>
          <w:b/>
          <w:bCs/>
          <w:i w:val="0"/>
          <w:iCs w:val="0"/>
          <w:caps w:val="0"/>
          <w:color w:val="333333"/>
          <w:spacing w:val="0"/>
          <w:sz w:val="28"/>
          <w:szCs w:val="28"/>
          <w:bdr w:val="none" w:color="auto" w:sz="0" w:space="0"/>
          <w:shd w:val="clear" w:fill="FFFFFF"/>
        </w:rPr>
        <w:t>五、报考资格审核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研究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80" w:lineRule="atLeast"/>
        <w:ind w:left="0" w:right="0" w:firstLine="555"/>
        <w:rPr>
          <w:rFonts w:hint="default" w:ascii="Segoe UI" w:hAnsi="Segoe UI" w:eastAsia="Segoe UI" w:cs="Segoe UI"/>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bdr w:val="none" w:color="auto" w:sz="0" w:space="0"/>
          <w:shd w:val="clear" w:fill="FFFFFF"/>
        </w:rPr>
        <w:t>六、复试资格审核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学院根据材料评议结果择优确定参加复试考核名单并公布。材料评议结果作为复试录取环节的重要参考依据之一。材料评议工作预计在</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4-5</w:t>
      </w:r>
      <w:r>
        <w:rPr>
          <w:rFonts w:hint="eastAsia" w:ascii="宋体" w:hAnsi="宋体" w:eastAsia="宋体" w:cs="宋体"/>
          <w:i w:val="0"/>
          <w:iCs w:val="0"/>
          <w:caps w:val="0"/>
          <w:color w:val="333333"/>
          <w:spacing w:val="0"/>
          <w:sz w:val="28"/>
          <w:szCs w:val="28"/>
          <w:bdr w:val="none" w:color="auto" w:sz="0" w:space="0"/>
          <w:shd w:val="clear" w:fill="FFFFFF"/>
        </w:rPr>
        <w:t>月初进行，请考生密切关注我单位网站相关通知。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以硕博连读方式报名考生的复试资格认定方式：符合报考资格、硕博连读申请经研究院审核通过且已完成报名手续的考生可参加复试。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直接攻博考生的相关要求按照学校和学院发布的关于接收</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80" w:lineRule="atLeast"/>
        <w:ind w:left="0" w:right="0" w:firstLine="555"/>
        <w:rPr>
          <w:rFonts w:hint="default" w:ascii="Segoe UI" w:hAnsi="Segoe UI" w:eastAsia="Segoe UI" w:cs="Segoe UI"/>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bdr w:val="none" w:color="auto" w:sz="0" w:space="0"/>
          <w:shd w:val="clear" w:fill="FFFFFF"/>
        </w:rPr>
        <w:t>七、复试录取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bookmarkStart w:id="0" w:name="OLE_LINK20"/>
      <w:bookmarkEnd w:id="0"/>
      <w:r>
        <w:rPr>
          <w:rFonts w:hint="eastAsia" w:ascii="宋体" w:hAnsi="宋体" w:eastAsia="宋体" w:cs="宋体"/>
          <w:i w:val="0"/>
          <w:iCs w:val="0"/>
          <w:caps w:val="0"/>
          <w:color w:val="333333"/>
          <w:spacing w:val="0"/>
          <w:sz w:val="28"/>
          <w:szCs w:val="28"/>
          <w:bdr w:val="none" w:color="auto" w:sz="0" w:space="0"/>
          <w:shd w:val="clear" w:fill="FFFFFF"/>
        </w:rPr>
        <w:t>经研究院审核达到复试考核要求的普通招考、硕博连读考生可参加复试。复试比例一般不低于</w:t>
      </w:r>
      <w:r>
        <w:rPr>
          <w:rFonts w:hint="eastAsia" w:ascii="宋体" w:hAnsi="宋体" w:eastAsia="宋体" w:cs="宋体"/>
          <w:i w:val="0"/>
          <w:iCs w:val="0"/>
          <w:caps w:val="0"/>
          <w:color w:val="333333"/>
          <w:spacing w:val="0"/>
          <w:sz w:val="28"/>
          <w:szCs w:val="28"/>
          <w:bdr w:val="none" w:color="auto" w:sz="0" w:space="0"/>
          <w:shd w:val="clear" w:fill="FFFFFF"/>
          <w:lang w:val="en-US"/>
        </w:rPr>
        <w:t>120%</w:t>
      </w:r>
      <w:r>
        <w:rPr>
          <w:rFonts w:hint="eastAsia" w:ascii="宋体" w:hAnsi="宋体" w:eastAsia="宋体" w:cs="宋体"/>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复试环节包括外语测试、综合能力考核等。考核内容主要包括思想政治素质和品德、外语能力、学术水平和能力、科研创新能力、工程理论和实践能力、学术志趣、培养潜质等。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复试考核方式采用面试的形式：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考查专业素养、学业水平、科研能力、专业志趣、创新潜质和综合素质等，每位考生一般不少于</w:t>
      </w:r>
      <w:r>
        <w:rPr>
          <w:rFonts w:hint="eastAsia" w:ascii="宋体" w:hAnsi="宋体" w:eastAsia="宋体" w:cs="宋体"/>
          <w:i w:val="0"/>
          <w:iCs w:val="0"/>
          <w:caps w:val="0"/>
          <w:color w:val="333333"/>
          <w:spacing w:val="0"/>
          <w:sz w:val="28"/>
          <w:szCs w:val="28"/>
          <w:bdr w:val="none" w:color="auto" w:sz="0" w:space="0"/>
          <w:shd w:val="clear" w:fill="FFFFFF"/>
          <w:lang w:val="en-US"/>
        </w:rPr>
        <w:t>30</w:t>
      </w:r>
      <w:r>
        <w:rPr>
          <w:rFonts w:hint="eastAsia" w:ascii="宋体" w:hAnsi="宋体" w:eastAsia="宋体" w:cs="宋体"/>
          <w:i w:val="0"/>
          <w:iCs w:val="0"/>
          <w:caps w:val="0"/>
          <w:color w:val="333333"/>
          <w:spacing w:val="0"/>
          <w:sz w:val="28"/>
          <w:szCs w:val="28"/>
          <w:bdr w:val="none" w:color="auto" w:sz="0" w:space="0"/>
          <w:shd w:val="clear" w:fill="FFFFFF"/>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同等学力考生加试科目：计算机网络、计算机组成原理。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依据“全面衡量，择优录取，保证质量，宁缺毋滥”的原则，根据考生复试总成绩按照报考专业和报考方式由高到低依次排序（分两个报考专业“计算机科学与技术”、“电子信息”，硕博连读和普通招考考生的复试成绩分别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复试总成绩合格（达到满分的</w:t>
      </w:r>
      <w:r>
        <w:rPr>
          <w:rFonts w:hint="eastAsia" w:ascii="宋体" w:hAnsi="宋体" w:eastAsia="宋体" w:cs="宋体"/>
          <w:i w:val="0"/>
          <w:iCs w:val="0"/>
          <w:caps w:val="0"/>
          <w:color w:val="333333"/>
          <w:spacing w:val="0"/>
          <w:sz w:val="28"/>
          <w:szCs w:val="28"/>
          <w:bdr w:val="none" w:color="auto" w:sz="0" w:space="0"/>
          <w:shd w:val="clear" w:fill="FFFFFF"/>
          <w:lang w:val="en-US"/>
        </w:rPr>
        <w:t>60%</w:t>
      </w:r>
      <w:r>
        <w:rPr>
          <w:rFonts w:hint="eastAsia" w:ascii="宋体" w:hAnsi="宋体" w:eastAsia="宋体" w:cs="宋体"/>
          <w:i w:val="0"/>
          <w:iCs w:val="0"/>
          <w:caps w:val="0"/>
          <w:color w:val="333333"/>
          <w:spacing w:val="0"/>
          <w:sz w:val="28"/>
          <w:szCs w:val="28"/>
          <w:bdr w:val="none" w:color="auto" w:sz="0" w:space="0"/>
          <w:shd w:val="clear" w:fill="FFFFFF"/>
        </w:rPr>
        <w:t>）才能被录取。加试成绩和思想政治理论成绩不计入复试总成绩</w:t>
      </w:r>
      <w:bookmarkStart w:id="1" w:name="_Hlk54683737"/>
      <w:bookmarkEnd w:id="1"/>
      <w:r>
        <w:rPr>
          <w:rFonts w:hint="eastAsia" w:ascii="宋体" w:hAnsi="宋体" w:eastAsia="宋体" w:cs="宋体"/>
          <w:i w:val="0"/>
          <w:iCs w:val="0"/>
          <w:caps w:val="0"/>
          <w:color w:val="333333"/>
          <w:spacing w:val="0"/>
          <w:sz w:val="28"/>
          <w:szCs w:val="28"/>
          <w:bdr w:val="none" w:color="auto" w:sz="0" w:space="0"/>
          <w:shd w:val="clear" w:fill="FFFFFF"/>
        </w:rPr>
        <w:t>，但成绩合格（各科成绩分别达到满分的</w:t>
      </w:r>
      <w:r>
        <w:rPr>
          <w:rFonts w:hint="eastAsia" w:ascii="宋体" w:hAnsi="宋体" w:eastAsia="宋体" w:cs="宋体"/>
          <w:i w:val="0"/>
          <w:iCs w:val="0"/>
          <w:caps w:val="0"/>
          <w:color w:val="333333"/>
          <w:spacing w:val="0"/>
          <w:sz w:val="28"/>
          <w:szCs w:val="28"/>
          <w:bdr w:val="none" w:color="auto" w:sz="0" w:space="0"/>
          <w:shd w:val="clear" w:fill="FFFFFF"/>
          <w:lang w:val="en-US"/>
        </w:rPr>
        <w:t>60%</w:t>
      </w:r>
      <w:r>
        <w:rPr>
          <w:rFonts w:hint="eastAsia" w:ascii="宋体" w:hAnsi="宋体" w:eastAsia="宋体" w:cs="宋体"/>
          <w:i w:val="0"/>
          <w:iCs w:val="0"/>
          <w:caps w:val="0"/>
          <w:color w:val="333333"/>
          <w:spacing w:val="0"/>
          <w:sz w:val="28"/>
          <w:szCs w:val="28"/>
          <w:bdr w:val="none" w:color="auto" w:sz="0" w:space="0"/>
          <w:shd w:val="clear" w:fill="FFFFFF"/>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复试考核和录取工作的具体要求和安排详见我院在复试前发布的博士生复试工作安排有关通知。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80" w:lineRule="atLeast"/>
        <w:ind w:left="0" w:right="0" w:firstLine="555"/>
        <w:rPr>
          <w:rFonts w:hint="default" w:ascii="Segoe UI" w:hAnsi="Segoe UI" w:eastAsia="Segoe UI" w:cs="Segoe UI"/>
          <w:i w:val="0"/>
          <w:iCs w:val="0"/>
          <w:caps w:val="0"/>
          <w:color w:val="333333"/>
          <w:spacing w:val="0"/>
          <w:sz w:val="21"/>
          <w:szCs w:val="21"/>
        </w:rPr>
      </w:pPr>
      <w:r>
        <w:rPr>
          <w:rStyle w:val="8"/>
          <w:rFonts w:hint="eastAsia" w:ascii="黑体" w:hAnsi="宋体" w:eastAsia="黑体" w:cs="黑体"/>
          <w:b/>
          <w:bCs/>
          <w:i w:val="0"/>
          <w:iCs w:val="0"/>
          <w:caps w:val="0"/>
          <w:color w:val="333333"/>
          <w:spacing w:val="0"/>
          <w:sz w:val="28"/>
          <w:szCs w:val="28"/>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电  话：</w:t>
      </w:r>
      <w:r>
        <w:rPr>
          <w:rFonts w:hint="eastAsia" w:ascii="宋体" w:hAnsi="宋体" w:eastAsia="宋体" w:cs="宋体"/>
          <w:i w:val="0"/>
          <w:iCs w:val="0"/>
          <w:caps w:val="0"/>
          <w:color w:val="333333"/>
          <w:spacing w:val="0"/>
          <w:sz w:val="28"/>
          <w:szCs w:val="28"/>
          <w:bdr w:val="none" w:color="auto" w:sz="0" w:space="0"/>
          <w:shd w:val="clear" w:fill="FFFFFF"/>
          <w:lang w:val="en-US"/>
        </w:rPr>
        <w:t>028-61831609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电子邮箱：</w:t>
      </w:r>
      <w:r>
        <w:rPr>
          <w:rFonts w:hint="eastAsia" w:ascii="宋体" w:hAnsi="宋体" w:eastAsia="宋体" w:cs="宋体"/>
          <w:i w:val="0"/>
          <w:iCs w:val="0"/>
          <w:caps w:val="0"/>
          <w:color w:val="333333"/>
          <w:spacing w:val="0"/>
          <w:sz w:val="28"/>
          <w:szCs w:val="28"/>
          <w:bdr w:val="none" w:color="auto" w:sz="0" w:space="0"/>
          <w:shd w:val="clear" w:fill="FFFFFF"/>
          <w:lang w:val="en-US"/>
        </w:rPr>
        <w:t>iccgr@uestc.edu.cn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研究院网址：</w:t>
      </w:r>
      <w:r>
        <w:rPr>
          <w:rFonts w:hint="eastAsia" w:ascii="宋体" w:hAnsi="宋体" w:eastAsia="宋体" w:cs="宋体"/>
          <w:i w:val="0"/>
          <w:iCs w:val="0"/>
          <w:caps w:val="0"/>
          <w:color w:val="333333"/>
          <w:spacing w:val="0"/>
          <w:sz w:val="28"/>
          <w:szCs w:val="28"/>
          <w:bdr w:val="none" w:color="auto" w:sz="0" w:space="0"/>
          <w:shd w:val="clear" w:fill="FFFFFF"/>
          <w:lang w:val="en-US"/>
        </w:rPr>
        <w:t>https://icct.uestc.edu.cn/index.htm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其他未尽事宜请参照《电子科技大学</w:t>
      </w:r>
      <w:r>
        <w:rPr>
          <w:rFonts w:hint="eastAsia" w:ascii="宋体" w:hAnsi="宋体" w:eastAsia="宋体" w:cs="宋体"/>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年博士研究生招生简章》及学校或研究院的后续通知。本通知内容如因政策变化等原因调整，请以最新通知为准。请考生密切关注电子科技大学研招网或我院网站上发布的最新信息。</w:t>
      </w:r>
    </w:p>
    <w:p>
      <w:pPr>
        <w:rPr>
          <w:rFonts w:hint="default"/>
        </w:rPr>
      </w:pPr>
      <w:r>
        <w:rPr>
          <w:rFonts w:ascii="Segoe UI" w:hAnsi="Segoe UI" w:eastAsia="Segoe UI" w:cs="Segoe UI"/>
          <w:i w:val="0"/>
          <w:iCs w:val="0"/>
          <w:caps w:val="0"/>
          <w:color w:val="333333"/>
          <w:spacing w:val="0"/>
          <w:sz w:val="21"/>
          <w:szCs w:val="21"/>
          <w:shd w:val="clear" w:fill="FFFFFF"/>
        </w:rPr>
        <w:t>附件【</w:t>
      </w:r>
      <w:r>
        <w:rPr>
          <w:rFonts w:hint="default" w:ascii="Segoe UI" w:hAnsi="Segoe UI" w:eastAsia="Segoe UI" w:cs="Segoe UI"/>
          <w:i w:val="0"/>
          <w:iCs w:val="0"/>
          <w:caps w:val="0"/>
          <w:color w:val="4C4C4C"/>
          <w:spacing w:val="0"/>
          <w:sz w:val="21"/>
          <w:szCs w:val="21"/>
          <w:u w:val="none"/>
          <w:shd w:val="clear" w:fill="FFFFFF"/>
        </w:rPr>
        <w:fldChar w:fldCharType="begin"/>
      </w:r>
      <w:r>
        <w:rPr>
          <w:rFonts w:hint="default" w:ascii="Segoe UI" w:hAnsi="Segoe UI" w:eastAsia="Segoe UI" w:cs="Segoe UI"/>
          <w:i w:val="0"/>
          <w:iCs w:val="0"/>
          <w:caps w:val="0"/>
          <w:color w:val="4C4C4C"/>
          <w:spacing w:val="0"/>
          <w:sz w:val="21"/>
          <w:szCs w:val="21"/>
          <w:u w:val="none"/>
          <w:shd w:val="clear" w:fill="FFFFFF"/>
        </w:rPr>
        <w:instrText xml:space="preserve"> HYPERLINK "https://icct.uestc.edu.cn/system/_content/download.jsp?urltype=news.DownloadAttachUrl&amp;owner=1927953287&amp;wbfileid=13259479" \t "https://icct.uestc.edu.cn/info/1029/_blank" </w:instrText>
      </w:r>
      <w:r>
        <w:rPr>
          <w:rFonts w:hint="default" w:ascii="Segoe UI" w:hAnsi="Segoe UI" w:eastAsia="Segoe UI" w:cs="Segoe UI"/>
          <w:i w:val="0"/>
          <w:iCs w:val="0"/>
          <w:caps w:val="0"/>
          <w:color w:val="4C4C4C"/>
          <w:spacing w:val="0"/>
          <w:sz w:val="21"/>
          <w:szCs w:val="21"/>
          <w:u w:val="none"/>
          <w:shd w:val="clear" w:fill="FFFFFF"/>
        </w:rPr>
        <w:fldChar w:fldCharType="separate"/>
      </w:r>
      <w:r>
        <w:rPr>
          <w:rStyle w:val="10"/>
          <w:rFonts w:hint="default" w:ascii="Segoe UI" w:hAnsi="Segoe UI" w:eastAsia="Segoe UI" w:cs="Segoe UI"/>
          <w:i w:val="0"/>
          <w:iCs w:val="0"/>
          <w:caps w:val="0"/>
          <w:color w:val="4C4C4C"/>
          <w:spacing w:val="0"/>
          <w:sz w:val="21"/>
          <w:szCs w:val="21"/>
          <w:u w:val="none"/>
          <w:shd w:val="clear" w:fill="FFFFFF"/>
        </w:rPr>
        <w:t>附件1： 智能计算研究院成果清单.docx</w:t>
      </w:r>
      <w:r>
        <w:rPr>
          <w:rFonts w:hint="default" w:ascii="Segoe UI" w:hAnsi="Segoe UI" w:eastAsia="Segoe UI" w:cs="Segoe UI"/>
          <w:i w:val="0"/>
          <w:iCs w:val="0"/>
          <w:caps w:val="0"/>
          <w:color w:val="4C4C4C"/>
          <w:spacing w:val="0"/>
          <w:sz w:val="21"/>
          <w:szCs w:val="21"/>
          <w:u w:val="none"/>
          <w:shd w:val="clear" w:fill="FFFFFF"/>
        </w:rPr>
        <w:fldChar w:fldCharType="end"/>
      </w:r>
      <w:r>
        <w:rPr>
          <w:rFonts w:hint="default" w:ascii="Segoe UI" w:hAnsi="Segoe UI" w:eastAsia="Segoe UI" w:cs="Segoe UI"/>
          <w:i w:val="0"/>
          <w:iCs w:val="0"/>
          <w:caps w:val="0"/>
          <w:color w:val="333333"/>
          <w:spacing w:val="0"/>
          <w:sz w:val="21"/>
          <w:szCs w:val="21"/>
          <w:shd w:val="clear" w:fill="FFFFFF"/>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9EF4DDA"/>
    <w:rsid w:val="0FE4669F"/>
    <w:rsid w:val="10E16942"/>
    <w:rsid w:val="14BD2115"/>
    <w:rsid w:val="171C2EF9"/>
    <w:rsid w:val="22E90157"/>
    <w:rsid w:val="2F123144"/>
    <w:rsid w:val="310835FF"/>
    <w:rsid w:val="3E317495"/>
    <w:rsid w:val="3EF25354"/>
    <w:rsid w:val="41DA4D98"/>
    <w:rsid w:val="43E01C6A"/>
    <w:rsid w:val="452A6789"/>
    <w:rsid w:val="484F022F"/>
    <w:rsid w:val="49DD1263"/>
    <w:rsid w:val="4AD102CE"/>
    <w:rsid w:val="4F9F432E"/>
    <w:rsid w:val="6E5C781B"/>
    <w:rsid w:val="77432AB8"/>
    <w:rsid w:val="7794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5C1FC5F04DC3441BB162A75406453681_13</vt:lpwstr>
  </property>
</Properties>
</file>