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8047B">
      <w:pPr>
        <w:spacing w:beforeLines="0" w:afterLines="0" w:line="560" w:lineRule="exact"/>
        <w:jc w:val="left"/>
        <w:rPr>
          <w:rFonts w:hint="default" w:asciiTheme="majorEastAsia" w:hAnsiTheme="majorEastAsia" w:eastAsiaTheme="majorEastAsia"/>
          <w:b/>
          <w:snapToGrid w:val="0"/>
          <w:color w:val="000000"/>
          <w:kern w:val="0"/>
          <w:sz w:val="32"/>
          <w:szCs w:val="32"/>
          <w:lang w:val="en-US" w:eastAsia="zh-CN"/>
        </w:rPr>
      </w:pPr>
      <w:r>
        <w:rPr>
          <w:rFonts w:hint="eastAsia" w:asciiTheme="majorEastAsia" w:hAnsiTheme="majorEastAsia" w:eastAsiaTheme="majorEastAsia"/>
          <w:b/>
          <w:snapToGrid w:val="0"/>
          <w:color w:val="000000"/>
          <w:kern w:val="0"/>
          <w:sz w:val="32"/>
          <w:szCs w:val="32"/>
          <w:lang w:eastAsia="zh-CN"/>
        </w:rPr>
        <w:t>附件</w:t>
      </w:r>
      <w:r>
        <w:rPr>
          <w:rFonts w:hint="eastAsia" w:asciiTheme="majorEastAsia" w:hAnsiTheme="majorEastAsia" w:eastAsiaTheme="majorEastAsia"/>
          <w:b/>
          <w:snapToGrid w:val="0"/>
          <w:color w:val="000000"/>
          <w:kern w:val="0"/>
          <w:sz w:val="32"/>
          <w:szCs w:val="32"/>
          <w:lang w:val="en-US" w:eastAsia="zh-CN"/>
        </w:rPr>
        <w:t>4：</w:t>
      </w:r>
    </w:p>
    <w:p w14:paraId="1F584C47">
      <w:pPr>
        <w:keepNext w:val="0"/>
        <w:keepLines w:val="0"/>
        <w:pageBreakBefore w:val="0"/>
        <w:widowControl/>
        <w:kinsoku w:val="0"/>
        <w:wordWrap/>
        <w:overflowPunct/>
        <w:topLinePunct w:val="0"/>
        <w:autoSpaceDE w:val="0"/>
        <w:autoSpaceDN w:val="0"/>
        <w:bidi w:val="0"/>
        <w:adjustRightInd w:val="0"/>
        <w:snapToGrid w:val="0"/>
        <w:spacing w:before="99" w:line="248" w:lineRule="auto"/>
        <w:ind w:left="0" w:right="0" w:firstLine="0"/>
        <w:jc w:val="center"/>
        <w:textAlignment w:val="baseline"/>
        <w:outlineLvl w:val="0"/>
        <w:rPr>
          <w:rFonts w:hint="eastAsia" w:ascii="黑体" w:hAnsi="黑体" w:eastAsia="黑体" w:cs="黑体"/>
          <w:sz w:val="43"/>
          <w:szCs w:val="43"/>
          <w:lang w:eastAsia="zh-CN"/>
        </w:rPr>
      </w:pPr>
      <w:r>
        <w:rPr>
          <w:rFonts w:hint="eastAsia" w:ascii="黑体" w:hAnsi="黑体" w:eastAsia="黑体" w:cs="黑体"/>
          <w:b/>
          <w:bCs/>
          <w:spacing w:val="-2"/>
          <w:sz w:val="43"/>
          <w:szCs w:val="43"/>
          <w:lang w:eastAsia="zh-CN"/>
        </w:rPr>
        <w:t>南昌大学经济管理</w:t>
      </w:r>
      <w:r>
        <w:rPr>
          <w:rFonts w:ascii="黑体" w:hAnsi="黑体" w:eastAsia="黑体" w:cs="黑体"/>
          <w:b/>
          <w:bCs/>
          <w:spacing w:val="-2"/>
          <w:sz w:val="43"/>
          <w:szCs w:val="43"/>
        </w:rPr>
        <w:t>学院202</w:t>
      </w:r>
      <w:r>
        <w:rPr>
          <w:rFonts w:hint="eastAsia" w:ascii="黑体" w:hAnsi="黑体" w:eastAsia="黑体" w:cs="黑体"/>
          <w:b/>
          <w:bCs/>
          <w:spacing w:val="-2"/>
          <w:sz w:val="43"/>
          <w:szCs w:val="43"/>
          <w:lang w:val="en-US" w:eastAsia="zh-CN"/>
        </w:rPr>
        <w:t>6</w:t>
      </w:r>
      <w:r>
        <w:rPr>
          <w:rFonts w:ascii="黑体" w:hAnsi="黑体" w:eastAsia="黑体" w:cs="黑体"/>
          <w:b/>
          <w:bCs/>
          <w:spacing w:val="-2"/>
          <w:sz w:val="43"/>
          <w:szCs w:val="43"/>
        </w:rPr>
        <w:t>年“优秀人才培育计</w:t>
      </w:r>
      <w:r>
        <w:rPr>
          <w:rFonts w:ascii="黑体" w:hAnsi="黑体" w:eastAsia="黑体" w:cs="黑体"/>
          <w:b/>
          <w:bCs/>
          <w:spacing w:val="5"/>
          <w:sz w:val="43"/>
          <w:szCs w:val="43"/>
        </w:rPr>
        <w:t>划”博士研究生</w:t>
      </w:r>
      <w:r>
        <w:rPr>
          <w:rFonts w:hint="eastAsia" w:ascii="黑体" w:hAnsi="黑体" w:eastAsia="黑体" w:cs="黑体"/>
          <w:b/>
          <w:bCs/>
          <w:spacing w:val="5"/>
          <w:sz w:val="43"/>
          <w:szCs w:val="43"/>
          <w:lang w:eastAsia="zh-CN"/>
        </w:rPr>
        <w:t>招生细则</w:t>
      </w:r>
    </w:p>
    <w:p w14:paraId="207B4FED">
      <w:pPr>
        <w:spacing w:line="342" w:lineRule="auto"/>
        <w:rPr>
          <w:rFonts w:ascii="Arial"/>
          <w:sz w:val="21"/>
        </w:rPr>
      </w:pPr>
    </w:p>
    <w:p w14:paraId="6B72AB4A">
      <w:pPr>
        <w:spacing w:line="343" w:lineRule="auto"/>
        <w:rPr>
          <w:rFonts w:ascii="Arial"/>
          <w:sz w:val="21"/>
        </w:rPr>
      </w:pPr>
    </w:p>
    <w:p w14:paraId="2E75E6C6">
      <w:pPr>
        <w:spacing w:before="98" w:line="228" w:lineRule="auto"/>
        <w:ind w:left="676"/>
        <w:outlineLvl w:val="1"/>
        <w:rPr>
          <w:rFonts w:ascii="黑体" w:hAnsi="黑体" w:eastAsia="黑体" w:cs="黑体"/>
          <w:sz w:val="30"/>
          <w:szCs w:val="30"/>
        </w:rPr>
      </w:pPr>
      <w:r>
        <w:rPr>
          <w:rFonts w:ascii="黑体" w:hAnsi="黑体" w:eastAsia="黑体" w:cs="黑体"/>
          <w:b/>
          <w:bCs/>
          <w:spacing w:val="6"/>
          <w:sz w:val="30"/>
          <w:szCs w:val="30"/>
        </w:rPr>
        <w:t>一、“优秀人才培育计划”介绍</w:t>
      </w:r>
    </w:p>
    <w:p w14:paraId="43C9E4F6">
      <w:pPr>
        <w:pStyle w:val="2"/>
        <w:spacing w:before="259" w:line="379" w:lineRule="auto"/>
        <w:ind w:left="32" w:firstLine="620"/>
        <w:jc w:val="both"/>
        <w:rPr>
          <w:spacing w:val="4"/>
          <w:sz w:val="30"/>
          <w:szCs w:val="30"/>
        </w:rPr>
      </w:pPr>
      <w:r>
        <w:rPr>
          <w:rFonts w:ascii="仿宋" w:hAnsi="仿宋" w:eastAsia="仿宋" w:cs="仿宋"/>
          <w:i w:val="0"/>
          <w:iCs w:val="0"/>
          <w:caps w:val="0"/>
          <w:color w:val="000000"/>
          <w:spacing w:val="0"/>
          <w:sz w:val="30"/>
          <w:szCs w:val="30"/>
          <w:shd w:val="clear" w:fill="FFFFFF"/>
        </w:rPr>
        <w:t>“优秀人才</w:t>
      </w:r>
      <w:bookmarkStart w:id="0" w:name="_GoBack"/>
      <w:bookmarkEnd w:id="0"/>
      <w:r>
        <w:rPr>
          <w:rFonts w:ascii="仿宋" w:hAnsi="仿宋" w:eastAsia="仿宋" w:cs="仿宋"/>
          <w:i w:val="0"/>
          <w:iCs w:val="0"/>
          <w:caps w:val="0"/>
          <w:color w:val="000000"/>
          <w:spacing w:val="0"/>
          <w:sz w:val="30"/>
          <w:szCs w:val="30"/>
          <w:shd w:val="clear" w:fill="FFFFFF"/>
        </w:rPr>
        <w:t>培育计划”旨在聚焦党和国家需要、国家战略和 关键产业发展需要、江西省“1269”行动计划产业发展需要，加大高层次拔尖创新人才培养，服务支撑新质生产力发展，面向相关行业优秀人才招收全日制定向博士研究生，鼓励有特殊学术专长和突出科研能力，在相关学科和领域已取得较为突出科研成果，为党和国家事业、经济社会发展作出突出贡献的人员报考。</w:t>
      </w:r>
    </w:p>
    <w:p w14:paraId="57C7F288">
      <w:pPr>
        <w:spacing w:before="51" w:line="227" w:lineRule="auto"/>
        <w:ind w:left="676"/>
        <w:outlineLvl w:val="1"/>
        <w:rPr>
          <w:rFonts w:ascii="黑体" w:hAnsi="黑体" w:eastAsia="黑体" w:cs="黑体"/>
          <w:sz w:val="30"/>
          <w:szCs w:val="30"/>
        </w:rPr>
      </w:pPr>
      <w:r>
        <w:rPr>
          <w:rFonts w:ascii="黑体" w:hAnsi="黑体" w:eastAsia="黑体" w:cs="黑体"/>
          <w:b/>
          <w:bCs/>
          <w:spacing w:val="4"/>
          <w:sz w:val="30"/>
          <w:szCs w:val="30"/>
        </w:rPr>
        <w:t>二、选拔方式</w:t>
      </w:r>
    </w:p>
    <w:p w14:paraId="30B1B33B">
      <w:pPr>
        <w:pStyle w:val="2"/>
        <w:spacing w:before="252" w:line="379" w:lineRule="auto"/>
        <w:ind w:left="7" w:right="84" w:firstLine="645"/>
        <w:jc w:val="both"/>
        <w:rPr>
          <w:spacing w:val="6"/>
        </w:rPr>
      </w:pPr>
      <w:r>
        <w:rPr>
          <w:spacing w:val="6"/>
        </w:rPr>
        <w:t>“优秀人才培育计划”实行“申请-考核”制选拔。坚持“组织推荐，标准从严，程序规范，择优录取”的原则。考生按要求提交报名申请材料，资格审核条件可按专项计划执行，材料评议及综合考核办法需与学院已公布的“申请-考核”实施细则保持一致，达到各专业的录取的基本要求后，学校统一择优录取。</w:t>
      </w:r>
    </w:p>
    <w:p w14:paraId="6AE4E1B5">
      <w:pPr>
        <w:pStyle w:val="2"/>
        <w:spacing w:before="50" w:line="376" w:lineRule="auto"/>
        <w:ind w:left="22" w:right="84" w:firstLine="671"/>
        <w:jc w:val="both"/>
        <w:rPr>
          <w:spacing w:val="6"/>
        </w:rPr>
      </w:pPr>
      <w:r>
        <w:rPr>
          <w:spacing w:val="5"/>
        </w:rPr>
        <w:t>1.</w:t>
      </w:r>
      <w:r>
        <w:rPr>
          <w:spacing w:val="6"/>
        </w:rPr>
        <w:t>报考条件：</w:t>
      </w:r>
      <w:r>
        <w:rPr>
          <w:rFonts w:hint="eastAsia"/>
          <w:spacing w:val="6"/>
        </w:rPr>
        <w:t>在本职工作中为党和国家事业、经济社会发展作出突出贡献、取得重大成就或在相关学科和领域已取得较为突出科研成果的在职人员，且符合报考学院和专业的“申请-考核”实施细则中相关学术要求。具体条件由我院研究生招生工作小组认定。</w:t>
      </w:r>
    </w:p>
    <w:p w14:paraId="79E5BFCD">
      <w:pPr>
        <w:pStyle w:val="2"/>
        <w:spacing w:before="166" w:line="368" w:lineRule="auto"/>
        <w:ind w:left="78" w:right="13" w:firstLine="601"/>
      </w:pPr>
      <w:r>
        <w:rPr>
          <w:spacing w:val="5"/>
        </w:rPr>
        <w:t>英语水平如未达到报考报考专业的免试条件，则需参加南</w:t>
      </w:r>
      <w:r>
        <w:rPr>
          <w:spacing w:val="14"/>
        </w:rPr>
        <w:t xml:space="preserve"> </w:t>
      </w:r>
      <w:r>
        <w:rPr>
          <w:spacing w:val="6"/>
        </w:rPr>
        <w:t>昌大学组织的博士研究生招生英语水平测试。</w:t>
      </w:r>
    </w:p>
    <w:p w14:paraId="4952B314">
      <w:pPr>
        <w:pStyle w:val="2"/>
        <w:spacing w:before="52" w:line="368" w:lineRule="auto"/>
        <w:ind w:left="27" w:right="13" w:firstLine="646"/>
      </w:pPr>
      <w:r>
        <w:rPr>
          <w:spacing w:val="4"/>
        </w:rPr>
        <w:t>2.学习年限：基本学习年限为3年，最长</w:t>
      </w:r>
      <w:r>
        <w:rPr>
          <w:spacing w:val="3"/>
        </w:rPr>
        <w:t>学习年限不超过</w:t>
      </w:r>
      <w:r>
        <w:rPr>
          <w:rFonts w:hint="eastAsia"/>
          <w:spacing w:val="-9"/>
          <w:lang w:val="en-US" w:eastAsia="zh-CN"/>
        </w:rPr>
        <w:t>5</w:t>
      </w:r>
      <w:r>
        <w:rPr>
          <w:spacing w:val="-9"/>
        </w:rPr>
        <w:t>年。</w:t>
      </w:r>
    </w:p>
    <w:p w14:paraId="7A402DFF">
      <w:pPr>
        <w:pStyle w:val="2"/>
        <w:spacing w:before="51" w:line="367" w:lineRule="auto"/>
        <w:ind w:left="43" w:right="13" w:firstLine="633"/>
      </w:pPr>
      <w:r>
        <w:rPr>
          <w:spacing w:val="2"/>
        </w:rPr>
        <w:t>3.报考类别：全日制定向就业。不转户口、不调档案、不</w:t>
      </w:r>
      <w:r>
        <w:rPr>
          <w:spacing w:val="7"/>
        </w:rPr>
        <w:t>发奖助学金，毕业后回原单位工作。</w:t>
      </w:r>
    </w:p>
    <w:p w14:paraId="42B92BF5">
      <w:pPr>
        <w:pStyle w:val="2"/>
        <w:spacing w:before="54" w:line="228" w:lineRule="auto"/>
        <w:ind w:left="669"/>
      </w:pPr>
      <w:r>
        <w:rPr>
          <w:spacing w:val="5"/>
        </w:rPr>
        <w:t>4.学费：学术学位博士研究生10000元</w:t>
      </w:r>
      <w:r>
        <w:rPr>
          <w:spacing w:val="4"/>
        </w:rPr>
        <w:t>/年。</w:t>
      </w:r>
    </w:p>
    <w:p w14:paraId="066096CE">
      <w:pPr>
        <w:pStyle w:val="2"/>
        <w:spacing w:before="252" w:line="373" w:lineRule="auto"/>
        <w:ind w:left="22" w:right="15" w:firstLine="654"/>
      </w:pPr>
      <w:r>
        <w:rPr>
          <w:spacing w:val="5"/>
        </w:rPr>
        <w:t>5.选拔方式：学位点对报考优秀人才培育计划学生材料进行审核，评估考生的科研成果、学术水平等，结合学</w:t>
      </w:r>
      <w:r>
        <w:rPr>
          <w:spacing w:val="4"/>
        </w:rPr>
        <w:t>院“申请</w:t>
      </w:r>
      <w:r>
        <w:rPr>
          <w:spacing w:val="6"/>
        </w:rPr>
        <w:t>-考核”实施细则，择优选择考生推荐报考。</w:t>
      </w:r>
    </w:p>
    <w:p w14:paraId="4D764650">
      <w:pPr>
        <w:spacing w:line="289" w:lineRule="auto"/>
        <w:rPr>
          <w:rFonts w:ascii="Arial"/>
          <w:sz w:val="21"/>
        </w:rPr>
      </w:pPr>
    </w:p>
    <w:p w14:paraId="703C5ACE">
      <w:pPr>
        <w:spacing w:line="289" w:lineRule="auto"/>
        <w:rPr>
          <w:rFonts w:ascii="Arial"/>
          <w:sz w:val="21"/>
        </w:rPr>
      </w:pPr>
    </w:p>
    <w:p w14:paraId="253D714D">
      <w:pPr>
        <w:pStyle w:val="2"/>
        <w:spacing w:before="98" w:line="368" w:lineRule="auto"/>
        <w:ind w:left="5682" w:right="106" w:hanging="831"/>
      </w:pPr>
      <w:r>
        <w:rPr>
          <w:spacing w:val="6"/>
        </w:rPr>
        <w:t>南昌大学</w:t>
      </w:r>
      <w:r>
        <w:rPr>
          <w:rFonts w:hint="eastAsia"/>
          <w:spacing w:val="6"/>
          <w:lang w:eastAsia="zh-CN"/>
        </w:rPr>
        <w:t>经济管理</w:t>
      </w:r>
      <w:r>
        <w:rPr>
          <w:spacing w:val="6"/>
        </w:rPr>
        <w:t>学院</w:t>
      </w:r>
      <w:r>
        <w:rPr>
          <w:spacing w:val="8"/>
        </w:rPr>
        <w:t xml:space="preserve"> </w:t>
      </w:r>
      <w:r>
        <w:rPr>
          <w:spacing w:val="-13"/>
        </w:rPr>
        <w:t>202</w:t>
      </w:r>
      <w:r>
        <w:rPr>
          <w:rFonts w:hint="eastAsia"/>
          <w:spacing w:val="-13"/>
          <w:lang w:val="en-US" w:eastAsia="zh-CN"/>
        </w:rPr>
        <w:t>6</w:t>
      </w:r>
      <w:r>
        <w:rPr>
          <w:spacing w:val="-44"/>
        </w:rPr>
        <w:t xml:space="preserve"> </w:t>
      </w:r>
      <w:r>
        <w:rPr>
          <w:spacing w:val="-13"/>
        </w:rPr>
        <w:t>年</w:t>
      </w:r>
      <w:r>
        <w:rPr>
          <w:spacing w:val="-38"/>
        </w:rPr>
        <w:t xml:space="preserve"> </w:t>
      </w:r>
      <w:r>
        <w:rPr>
          <w:rFonts w:hint="eastAsia"/>
          <w:spacing w:val="-13"/>
          <w:lang w:val="en-US" w:eastAsia="zh-CN"/>
        </w:rPr>
        <w:t>5</w:t>
      </w:r>
      <w:r>
        <w:rPr>
          <w:spacing w:val="-13"/>
        </w:rPr>
        <w:t>月</w:t>
      </w:r>
      <w:r>
        <w:rPr>
          <w:spacing w:val="-57"/>
        </w:rPr>
        <w:t xml:space="preserve"> </w:t>
      </w:r>
      <w:r>
        <w:rPr>
          <w:rFonts w:hint="eastAsia"/>
          <w:spacing w:val="-13"/>
          <w:lang w:val="en-US" w:eastAsia="zh-CN"/>
        </w:rPr>
        <w:t xml:space="preserve">8 </w:t>
      </w:r>
      <w:r>
        <w:rPr>
          <w:spacing w:val="-13"/>
        </w:rPr>
        <w:t>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27C548E"/>
    <w:rsid w:val="3793588A"/>
    <w:rsid w:val="4CD27E39"/>
    <w:rsid w:val="71F31E8C"/>
    <w:rsid w:val="737C60CA"/>
    <w:rsid w:val="7D8131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691</Words>
  <Characters>709</Characters>
  <TotalTime>0</TotalTime>
  <ScaleCrop>false</ScaleCrop>
  <LinksUpToDate>false</LinksUpToDate>
  <CharactersWithSpaces>716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2024-11-20T09:46:00Z</dcterms:created>
  <dc:creator>HP</dc:creator>
  <cp:lastModifiedBy>石云</cp:lastModifiedBy>
  <dcterms:modified xsi:type="dcterms:W3CDTF">2026-05-09T06:19:27Z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2025-05-12T09:11:28Z</vt:filetime>
  </property>
  <property fmtid="{D5CDD505-2E9C-101B-9397-08002B2CF9AE}" pid="4" name="KSOTemplateDocerSaveRecord">
    <vt:lpwstr>eyJoZGlkIjoiNDBhZWY4MDY5MjlkMDVlZGUyMTA4OGZlZDAxYWQ5YWUiLCJ1c2VySWQiOiIxNjc0OTc5NDI4In0=</vt:lpwstr>
  </property>
  <property fmtid="{D5CDD505-2E9C-101B-9397-08002B2CF9AE}" pid="5" name="KSOProductBuildVer">
    <vt:lpwstr>2052-12.1.0.20305</vt:lpwstr>
  </property>
  <property fmtid="{D5CDD505-2E9C-101B-9397-08002B2CF9AE}" pid="6" name="ICV">
    <vt:lpwstr>D9750CD05AD044938B61A73A8BC97299_13</vt:lpwstr>
  </property>
</Properties>
</file>