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92F52F">
      <w:pPr>
        <w:spacing w:line="560" w:lineRule="exact"/>
        <w:jc w:val="center"/>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lang w:eastAsia="zh-CN"/>
        </w:rPr>
        <w:t>乾元国家实验室</w:t>
      </w:r>
      <w:r>
        <w:rPr>
          <w:rFonts w:hint="eastAsia" w:ascii="方正小标宋简体" w:hAnsi="方正小标宋简体" w:eastAsia="方正小标宋简体" w:cs="方正小标宋简体"/>
          <w:sz w:val="44"/>
          <w:szCs w:val="44"/>
          <w:highlight w:val="none"/>
        </w:rPr>
        <w:t>联合培养博士研究生</w:t>
      </w:r>
    </w:p>
    <w:p w14:paraId="449F957B">
      <w:pPr>
        <w:spacing w:line="560" w:lineRule="exact"/>
        <w:jc w:val="center"/>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专项计划</w:t>
      </w:r>
    </w:p>
    <w:p w14:paraId="56E46059">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为服务国家创新驱动发展战略，充分发挥高校与新型研发机构的资源优势，共同探索创新人才培养新模式，</w:t>
      </w:r>
      <w:r>
        <w:rPr>
          <w:rFonts w:hint="default" w:ascii="Times New Roman" w:hAnsi="Times New Roman" w:eastAsia="方正仿宋_GB2312" w:cs="Times New Roman"/>
          <w:sz w:val="32"/>
          <w:szCs w:val="32"/>
          <w:highlight w:val="none"/>
          <w:lang w:eastAsia="zh-CN"/>
        </w:rPr>
        <w:t>202</w:t>
      </w:r>
      <w:r>
        <w:rPr>
          <w:rFonts w:hint="eastAsia" w:ascii="Times New Roman" w:hAnsi="Times New Roman" w:eastAsia="方正仿宋_GB2312" w:cs="Times New Roman"/>
          <w:sz w:val="32"/>
          <w:szCs w:val="32"/>
          <w:highlight w:val="none"/>
          <w:lang w:eastAsia="zh-CN"/>
        </w:rPr>
        <w:t>5</w:t>
      </w:r>
      <w:r>
        <w:rPr>
          <w:rFonts w:hint="eastAsia" w:ascii="方正仿宋_GB2312" w:hAnsi="方正仿宋_GB2312" w:eastAsia="方正仿宋_GB2312" w:cs="方正仿宋_GB2312"/>
          <w:sz w:val="32"/>
          <w:szCs w:val="32"/>
          <w:highlight w:val="none"/>
          <w:lang w:eastAsia="zh-CN"/>
        </w:rPr>
        <w:t>年</w:t>
      </w:r>
      <w:r>
        <w:rPr>
          <w:rFonts w:hint="eastAsia" w:ascii="方正仿宋_GB2312" w:hAnsi="方正仿宋_GB2312" w:eastAsia="方正仿宋_GB2312" w:cs="方正仿宋_GB2312"/>
          <w:sz w:val="32"/>
          <w:szCs w:val="32"/>
          <w:highlight w:val="none"/>
        </w:rPr>
        <w:t>西安电子科技大学联合</w:t>
      </w:r>
      <w:r>
        <w:rPr>
          <w:rFonts w:hint="eastAsia" w:ascii="方正仿宋_GB2312" w:hAnsi="方正仿宋_GB2312" w:eastAsia="方正仿宋_GB2312" w:cs="方正仿宋_GB2312"/>
          <w:sz w:val="32"/>
          <w:szCs w:val="32"/>
          <w:highlight w:val="none"/>
          <w:lang w:eastAsia="zh-CN"/>
        </w:rPr>
        <w:t>乾元国家实验室</w:t>
      </w:r>
      <w:r>
        <w:rPr>
          <w:rFonts w:hint="eastAsia" w:ascii="方正仿宋_GB2312" w:hAnsi="方正仿宋_GB2312" w:eastAsia="方正仿宋_GB2312" w:cs="方正仿宋_GB2312"/>
          <w:sz w:val="32"/>
          <w:szCs w:val="32"/>
          <w:highlight w:val="none"/>
        </w:rPr>
        <w:t>共同开展博士研究生培养计划（以下简称“专项计划”），培养信息、智能领域工程技术方面具有高度社会责任感和国际视野的创新人才。专项计划招收学术学位</w:t>
      </w:r>
      <w:r>
        <w:rPr>
          <w:rFonts w:hint="eastAsia" w:ascii="方正仿宋_GB2312" w:hAnsi="方正仿宋_GB2312" w:eastAsia="方正仿宋_GB2312" w:cs="方正仿宋_GB2312"/>
          <w:sz w:val="32"/>
          <w:szCs w:val="32"/>
          <w:highlight w:val="none"/>
          <w:lang w:val="en-US" w:eastAsia="zh-CN"/>
        </w:rPr>
        <w:t>和专业学位</w:t>
      </w:r>
      <w:r>
        <w:rPr>
          <w:rFonts w:hint="eastAsia" w:ascii="方正仿宋_GB2312" w:hAnsi="方正仿宋_GB2312" w:eastAsia="方正仿宋_GB2312" w:cs="方正仿宋_GB2312"/>
          <w:sz w:val="32"/>
          <w:szCs w:val="32"/>
          <w:highlight w:val="none"/>
        </w:rPr>
        <w:t>博士研究生（以下简称“学术博士”），实行普通招考招生方式，通过“申请</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rPr>
        <w:t>考核”进行选拔，择优录取。</w:t>
      </w:r>
    </w:p>
    <w:p w14:paraId="2E9E698E">
      <w:pPr>
        <w:spacing w:line="560" w:lineRule="exact"/>
        <w:ind w:firstLine="640" w:firstLineChars="200"/>
        <w:rPr>
          <w:rFonts w:ascii="黑体" w:hAnsi="黑体" w:eastAsia="黑体" w:cs="黑体"/>
          <w:sz w:val="32"/>
          <w:szCs w:val="32"/>
          <w:highlight w:val="none"/>
        </w:rPr>
      </w:pPr>
      <w:r>
        <w:rPr>
          <w:rFonts w:hint="eastAsia" w:ascii="黑体" w:hAnsi="黑体" w:eastAsia="黑体" w:cs="黑体"/>
          <w:sz w:val="32"/>
          <w:szCs w:val="32"/>
          <w:highlight w:val="none"/>
        </w:rPr>
        <w:t>一、</w:t>
      </w:r>
      <w:r>
        <w:rPr>
          <w:rFonts w:hint="eastAsia" w:ascii="黑体" w:hAnsi="黑体" w:eastAsia="黑体" w:cs="黑体"/>
          <w:sz w:val="32"/>
          <w:szCs w:val="32"/>
          <w:highlight w:val="none"/>
          <w:lang w:eastAsia="zh-CN"/>
        </w:rPr>
        <w:t>乾元国家实验室</w:t>
      </w:r>
      <w:r>
        <w:rPr>
          <w:rFonts w:hint="eastAsia" w:ascii="黑体" w:hAnsi="黑体" w:eastAsia="黑体" w:cs="黑体"/>
          <w:sz w:val="32"/>
          <w:szCs w:val="32"/>
          <w:highlight w:val="none"/>
        </w:rPr>
        <w:t>简介</w:t>
      </w:r>
    </w:p>
    <w:p w14:paraId="30A2F13F">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eastAsia="zh-CN"/>
        </w:rPr>
        <w:t>乾元国家实验室</w:t>
      </w:r>
      <w:r>
        <w:rPr>
          <w:rFonts w:hint="eastAsia" w:ascii="方正仿宋_GB2312" w:hAnsi="方正仿宋_GB2312" w:eastAsia="方正仿宋_GB2312" w:cs="方正仿宋_GB2312"/>
          <w:sz w:val="32"/>
          <w:szCs w:val="32"/>
          <w:highlight w:val="none"/>
        </w:rPr>
        <w:t>是中央管理的新型科研事业单位，是电磁</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lang w:val="en-US" w:eastAsia="zh-CN"/>
        </w:rPr>
        <w:t>信息域与能量域</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rPr>
        <w:t>科学技术领域突破型、引领型、平台型一体化的国家核心战略科技力量，主要从事该领域战略性、前瞻性、基础性重大科学问题研究和关键技术攻关。实验室于</w:t>
      </w:r>
      <w:r>
        <w:rPr>
          <w:rFonts w:hint="eastAsia" w:ascii="Times New Roman" w:hAnsi="Times New Roman" w:eastAsia="仿宋_GB2312" w:cs="Times New Roman"/>
          <w:sz w:val="32"/>
          <w:szCs w:val="32"/>
          <w:highlight w:val="none"/>
          <w:lang w:val="en-US" w:eastAsia="zh-CN"/>
        </w:rPr>
        <w:t>2023</w:t>
      </w:r>
      <w:r>
        <w:rPr>
          <w:rFonts w:hint="eastAsia" w:ascii="方正仿宋_GB2312" w:hAnsi="方正仿宋_GB2312" w:eastAsia="方正仿宋_GB2312" w:cs="方正仿宋_GB2312"/>
          <w:sz w:val="32"/>
          <w:szCs w:val="32"/>
          <w:highlight w:val="none"/>
        </w:rPr>
        <w:t>年</w:t>
      </w:r>
      <w:r>
        <w:rPr>
          <w:rFonts w:hint="eastAsia" w:ascii="Times New Roman" w:hAnsi="Times New Roman" w:eastAsia="仿宋_GB2312" w:cs="Times New Roman"/>
          <w:sz w:val="32"/>
          <w:szCs w:val="32"/>
          <w:highlight w:val="none"/>
          <w:lang w:val="en-US" w:eastAsia="zh-CN"/>
        </w:rPr>
        <w:t>2</w:t>
      </w:r>
      <w:r>
        <w:rPr>
          <w:rFonts w:hint="eastAsia" w:ascii="方正仿宋_GB2312" w:hAnsi="方正仿宋_GB2312" w:eastAsia="方正仿宋_GB2312" w:cs="方正仿宋_GB2312"/>
          <w:sz w:val="32"/>
          <w:szCs w:val="32"/>
          <w:highlight w:val="none"/>
        </w:rPr>
        <w:t>月成立，总部位于浙江省杭州市西湖区，主区占地面积约</w:t>
      </w:r>
      <w:r>
        <w:rPr>
          <w:rFonts w:hint="eastAsia" w:ascii="Times New Roman" w:hAnsi="Times New Roman" w:eastAsia="仿宋_GB2312" w:cs="Times New Roman"/>
          <w:sz w:val="32"/>
          <w:szCs w:val="32"/>
          <w:highlight w:val="none"/>
          <w:lang w:val="en-US" w:eastAsia="zh-CN"/>
        </w:rPr>
        <w:t>2000</w:t>
      </w:r>
      <w:r>
        <w:rPr>
          <w:rFonts w:hint="eastAsia" w:ascii="方正仿宋_GB2312" w:hAnsi="方正仿宋_GB2312" w:eastAsia="方正仿宋_GB2312" w:cs="方正仿宋_GB2312"/>
          <w:sz w:val="32"/>
          <w:szCs w:val="32"/>
          <w:highlight w:val="none"/>
        </w:rPr>
        <w:t>亩</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lang w:val="en-US" w:eastAsia="zh-CN"/>
        </w:rPr>
        <w:t>办公及科研设施面积近百万方</w:t>
      </w:r>
      <w:r>
        <w:rPr>
          <w:rFonts w:hint="eastAsia" w:ascii="方正仿宋_GB2312" w:hAnsi="方正仿宋_GB2312" w:eastAsia="方正仿宋_GB2312" w:cs="方正仿宋_GB2312"/>
          <w:sz w:val="32"/>
          <w:szCs w:val="32"/>
          <w:highlight w:val="none"/>
        </w:rPr>
        <w:t>。</w:t>
      </w:r>
    </w:p>
    <w:p w14:paraId="4323AF63">
      <w:pPr>
        <w:spacing w:line="560" w:lineRule="exact"/>
        <w:ind w:firstLine="640" w:firstLineChars="200"/>
        <w:rPr>
          <w:rFonts w:hint="eastAsia" w:ascii="Times New Roman" w:hAnsi="Times New Roman" w:eastAsia="仿宋_GB2312" w:cs="Times New Roman"/>
          <w:sz w:val="32"/>
          <w:szCs w:val="32"/>
          <w:highlight w:val="none"/>
        </w:rPr>
      </w:pPr>
      <w:r>
        <w:rPr>
          <w:rFonts w:hint="eastAsia" w:ascii="方正仿宋_GB2312" w:hAnsi="方正仿宋_GB2312" w:eastAsia="方正仿宋_GB2312" w:cs="方正仿宋_GB2312"/>
          <w:sz w:val="32"/>
          <w:szCs w:val="32"/>
          <w:highlight w:val="none"/>
          <w:lang w:val="en-US" w:eastAsia="zh-CN"/>
        </w:rPr>
        <w:t>电磁空间系统技术领域聚焦电磁空间多功能系统融合与集成、分布式协同感知与对抗、体系电磁资源融合与管控等方向，建有国内独有、功能完备、超宽谱的大型电磁特性测量与电磁对抗平台（多功能微波暗室），分布式协同实验平台（</w:t>
      </w:r>
      <w:r>
        <w:rPr>
          <w:rFonts w:hint="eastAsia" w:ascii="Times New Roman" w:hAnsi="Times New Roman" w:eastAsia="仿宋_GB2312" w:cs="Times New Roman"/>
          <w:sz w:val="32"/>
          <w:szCs w:val="32"/>
          <w:highlight w:val="none"/>
          <w:lang w:val="en-US" w:eastAsia="zh-CN"/>
        </w:rPr>
        <w:t>3000</w:t>
      </w:r>
      <w:r>
        <w:rPr>
          <w:rFonts w:hint="eastAsia" w:ascii="方正仿宋_GB2312" w:hAnsi="方正仿宋_GB2312" w:eastAsia="方正仿宋_GB2312" w:cs="方正仿宋_GB2312"/>
          <w:sz w:val="32"/>
          <w:szCs w:val="32"/>
          <w:highlight w:val="none"/>
          <w:lang w:val="en-US" w:eastAsia="zh-CN"/>
        </w:rPr>
        <w:t>亩大型电子系统实验场），电磁态势与智能管控研究平台及各类先进测试系统等</w:t>
      </w:r>
      <w:r>
        <w:rPr>
          <w:rFonts w:hint="eastAsia" w:ascii="Times New Roman" w:hAnsi="Times New Roman" w:eastAsia="仿宋_GB2312" w:cs="Times New Roman"/>
          <w:sz w:val="32"/>
          <w:szCs w:val="32"/>
          <w:highlight w:val="none"/>
          <w:lang w:val="en-US" w:eastAsia="zh-CN"/>
        </w:rPr>
        <w:t>。</w:t>
      </w:r>
    </w:p>
    <w:p w14:paraId="2B2D3E65">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val="en-US" w:eastAsia="zh-CN"/>
        </w:rPr>
        <w:t>定向能技术领域聚焦高功率微波、高能激光、电磁动能和粒子束等方向，建有世界首个体系完备、多维参数可调的高功率微波效应与效能研究平台，国内独有、世界一流的定向能交叉融合研究平台。</w:t>
      </w:r>
    </w:p>
    <w:p w14:paraId="0A498CE2">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val="en-US" w:eastAsia="zh-CN"/>
        </w:rPr>
        <w:t>基础与共性技术领域聚焦</w:t>
      </w:r>
      <w:r>
        <w:rPr>
          <w:rFonts w:hint="eastAsia" w:ascii="Times New Roman" w:hAnsi="Times New Roman" w:eastAsia="仿宋_GB2312" w:cs="Times New Roman"/>
          <w:sz w:val="32"/>
          <w:szCs w:val="32"/>
          <w:highlight w:val="none"/>
          <w:lang w:val="en-US" w:eastAsia="zh-CN"/>
        </w:rPr>
        <w:t>AI</w:t>
      </w:r>
      <w:r>
        <w:rPr>
          <w:rFonts w:hint="eastAsia" w:ascii="方正仿宋_GB2312" w:hAnsi="方正仿宋_GB2312" w:eastAsia="方正仿宋_GB2312" w:cs="方正仿宋_GB2312"/>
          <w:sz w:val="32"/>
          <w:szCs w:val="32"/>
          <w:highlight w:val="none"/>
          <w:lang w:val="en-US" w:eastAsia="zh-CN"/>
        </w:rPr>
        <w:t>驱动的电磁平行空间、射频微系统超越摩尔路径等方向，建有国际一流、独具特色的电磁领域基础共性技术软硬件底座平台体系，国内独有、世界一流的数智融合驱动和虚实演进迭代优化的电磁数字设计与仿真平台、光电融合与</w:t>
      </w:r>
      <w:r>
        <w:rPr>
          <w:rFonts w:hint="eastAsia" w:ascii="Times New Roman" w:hAnsi="Times New Roman" w:eastAsia="仿宋_GB2312" w:cs="Times New Roman"/>
          <w:sz w:val="32"/>
          <w:szCs w:val="32"/>
          <w:highlight w:val="none"/>
          <w:lang w:val="en-US" w:eastAsia="zh-CN"/>
        </w:rPr>
        <w:t>3D</w:t>
      </w:r>
      <w:r>
        <w:rPr>
          <w:rFonts w:hint="eastAsia" w:ascii="方正仿宋_GB2312" w:hAnsi="方正仿宋_GB2312" w:eastAsia="方正仿宋_GB2312" w:cs="方正仿宋_GB2312"/>
          <w:sz w:val="32"/>
          <w:szCs w:val="32"/>
          <w:highlight w:val="none"/>
          <w:lang w:val="en-US" w:eastAsia="zh-CN"/>
        </w:rPr>
        <w:t>异构集成微系统工艺平台（</w:t>
      </w:r>
      <w:r>
        <w:rPr>
          <w:rFonts w:hint="eastAsia" w:ascii="Times New Roman" w:hAnsi="Times New Roman" w:eastAsia="仿宋_GB2312" w:cs="Times New Roman"/>
          <w:sz w:val="32"/>
          <w:szCs w:val="32"/>
          <w:highlight w:val="none"/>
          <w:lang w:val="en-US" w:eastAsia="zh-CN"/>
        </w:rPr>
        <w:t>6000㎡</w:t>
      </w:r>
      <w:r>
        <w:rPr>
          <w:rFonts w:hint="eastAsia" w:ascii="方正仿宋_GB2312" w:hAnsi="方正仿宋_GB2312" w:eastAsia="方正仿宋_GB2312" w:cs="方正仿宋_GB2312"/>
          <w:sz w:val="32"/>
          <w:szCs w:val="32"/>
          <w:highlight w:val="none"/>
          <w:lang w:val="en-US" w:eastAsia="zh-CN"/>
        </w:rPr>
        <w:t>百/千级洁净间）等。</w:t>
      </w:r>
    </w:p>
    <w:p w14:paraId="15D7B9BC">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val="en-US" w:eastAsia="zh-CN"/>
        </w:rPr>
        <w:t>前沿技术领域聚焦电磁领域颠覆性重大原创理论与技术方向，建有量子探测、先进光电融合等平台，正在建设世界独有、超大尺度、超高精准电磁空间精准测定大科学装置。</w:t>
      </w:r>
    </w:p>
    <w:p w14:paraId="5E6E8BF2">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val="en-US" w:eastAsia="zh-CN"/>
        </w:rPr>
        <w:t>此外，乾元国家实验室还建有开放共享的电磁超算中心，电磁大数据中心和一流的情报信息研究中心。</w:t>
      </w:r>
    </w:p>
    <w:p w14:paraId="0F5405DB">
      <w:pPr>
        <w:spacing w:line="560" w:lineRule="exact"/>
        <w:ind w:firstLine="640" w:firstLineChars="200"/>
        <w:rPr>
          <w:rFonts w:ascii="黑体" w:hAnsi="黑体" w:eastAsia="黑体" w:cs="黑体"/>
          <w:sz w:val="32"/>
          <w:szCs w:val="32"/>
          <w:highlight w:val="none"/>
        </w:rPr>
      </w:pPr>
      <w:r>
        <w:rPr>
          <w:rFonts w:ascii="黑体" w:hAnsi="黑体" w:eastAsia="黑体" w:cs="黑体"/>
          <w:sz w:val="32"/>
          <w:szCs w:val="32"/>
          <w:highlight w:val="none"/>
        </w:rPr>
        <w:t>二、专项计划情况</w:t>
      </w:r>
    </w:p>
    <w:p w14:paraId="6F7311EA">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Times New Roman" w:hAnsi="Times New Roman" w:eastAsia="方正仿宋_GB2312" w:cs="Times New Roman"/>
          <w:sz w:val="32"/>
          <w:szCs w:val="32"/>
          <w:highlight w:val="none"/>
          <w:lang w:val="en-US" w:eastAsia="zh-CN"/>
        </w:rPr>
        <w:t>1</w:t>
      </w:r>
      <w:r>
        <w:rPr>
          <w:rFonts w:hint="eastAsia" w:ascii="Times New Roman" w:hAnsi="Times New Roman" w:eastAsia="方正仿宋_GB2312" w:cs="Times New Roman"/>
          <w:sz w:val="32"/>
          <w:szCs w:val="32"/>
          <w:highlight w:val="none"/>
        </w:rPr>
        <w:t>.</w:t>
      </w:r>
      <w:r>
        <w:rPr>
          <w:rFonts w:hint="eastAsia" w:ascii="方正仿宋_GB2312" w:hAnsi="方正仿宋_GB2312" w:eastAsia="方正仿宋_GB2312" w:cs="方正仿宋_GB2312"/>
          <w:sz w:val="32"/>
          <w:szCs w:val="32"/>
          <w:highlight w:val="none"/>
        </w:rPr>
        <w:t>研究领域</w:t>
      </w:r>
    </w:p>
    <w:p w14:paraId="40C02191">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从事电磁空间科学技术领域战略性、前瞻性、基础性重大科学问题研究与关键技术攻关。</w:t>
      </w:r>
    </w:p>
    <w:p w14:paraId="65FD7CA4">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Times New Roman" w:hAnsi="Times New Roman" w:eastAsia="方正仿宋_GB2312" w:cs="Times New Roman"/>
          <w:sz w:val="32"/>
          <w:szCs w:val="32"/>
          <w:highlight w:val="none"/>
          <w:lang w:val="en-US" w:eastAsia="zh-CN"/>
        </w:rPr>
        <w:t>2</w:t>
      </w:r>
      <w:r>
        <w:rPr>
          <w:rFonts w:hint="eastAsia" w:ascii="Times New Roman" w:hAnsi="Times New Roman" w:eastAsia="方正仿宋_GB2312" w:cs="Times New Roman"/>
          <w:sz w:val="32"/>
          <w:szCs w:val="32"/>
          <w:highlight w:val="none"/>
        </w:rPr>
        <w:t>.</w:t>
      </w:r>
      <w:r>
        <w:rPr>
          <w:rFonts w:hint="eastAsia" w:ascii="方正仿宋_GB2312" w:hAnsi="方正仿宋_GB2312" w:eastAsia="方正仿宋_GB2312" w:cs="方正仿宋_GB2312"/>
          <w:sz w:val="32"/>
          <w:szCs w:val="32"/>
          <w:highlight w:val="none"/>
        </w:rPr>
        <w:t>培养条件保障</w:t>
      </w:r>
    </w:p>
    <w:p w14:paraId="15514192">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Times New Roman" w:hAnsi="Times New Roman" w:eastAsia="方正仿宋_GB2312" w:cs="Times New Roman"/>
          <w:sz w:val="32"/>
          <w:szCs w:val="32"/>
          <w:highlight w:val="none"/>
        </w:rPr>
        <w:t>（1）</w:t>
      </w:r>
      <w:r>
        <w:rPr>
          <w:rFonts w:hint="eastAsia" w:ascii="方正仿宋_GB2312" w:hAnsi="方正仿宋_GB2312" w:eastAsia="方正仿宋_GB2312" w:cs="方正仿宋_GB2312"/>
          <w:sz w:val="32"/>
          <w:szCs w:val="32"/>
          <w:highlight w:val="none"/>
        </w:rPr>
        <w:t>拥有充足的科研经费；</w:t>
      </w:r>
    </w:p>
    <w:p w14:paraId="1014387E">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Times New Roman" w:hAnsi="Times New Roman" w:eastAsia="方正仿宋_GB2312" w:cs="Times New Roman"/>
          <w:sz w:val="32"/>
          <w:szCs w:val="32"/>
          <w:highlight w:val="none"/>
        </w:rPr>
        <w:t>（2）</w:t>
      </w:r>
      <w:r>
        <w:rPr>
          <w:rFonts w:hint="eastAsia" w:ascii="方正仿宋_GB2312" w:hAnsi="方正仿宋_GB2312" w:eastAsia="方正仿宋_GB2312" w:cs="方正仿宋_GB2312"/>
          <w:sz w:val="32"/>
          <w:szCs w:val="32"/>
          <w:highlight w:val="none"/>
        </w:rPr>
        <w:t>具有先进的科研平台；</w:t>
      </w:r>
    </w:p>
    <w:p w14:paraId="28E4C713">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Times New Roman" w:hAnsi="Times New Roman" w:eastAsia="方正仿宋_GB2312" w:cs="Times New Roman"/>
          <w:sz w:val="32"/>
          <w:szCs w:val="32"/>
          <w:highlight w:val="none"/>
        </w:rPr>
        <w:t>（3）</w:t>
      </w:r>
      <w:r>
        <w:rPr>
          <w:rFonts w:hint="eastAsia" w:ascii="方正仿宋_GB2312" w:hAnsi="方正仿宋_GB2312" w:eastAsia="方正仿宋_GB2312" w:cs="方正仿宋_GB2312"/>
          <w:sz w:val="32"/>
          <w:szCs w:val="32"/>
          <w:highlight w:val="none"/>
        </w:rPr>
        <w:t>提供良好的食宿保障。</w:t>
      </w:r>
    </w:p>
    <w:p w14:paraId="1F854B0F">
      <w:pPr>
        <w:spacing w:line="560" w:lineRule="exact"/>
        <w:ind w:firstLine="640" w:firstLineChars="200"/>
        <w:rPr>
          <w:rFonts w:ascii="黑体" w:hAnsi="黑体" w:eastAsia="黑体" w:cs="黑体"/>
          <w:sz w:val="32"/>
          <w:szCs w:val="32"/>
          <w:highlight w:val="none"/>
        </w:rPr>
      </w:pPr>
      <w:r>
        <w:rPr>
          <w:rFonts w:ascii="黑体" w:hAnsi="黑体" w:eastAsia="黑体" w:cs="黑体"/>
          <w:sz w:val="32"/>
          <w:szCs w:val="32"/>
          <w:highlight w:val="none"/>
        </w:rPr>
        <w:t>三、招生规模</w:t>
      </w:r>
    </w:p>
    <w:p w14:paraId="2DD6786E">
      <w:pPr>
        <w:spacing w:line="560" w:lineRule="exact"/>
        <w:ind w:firstLine="640" w:firstLineChars="200"/>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rPr>
        <w:t>计划招收学术</w:t>
      </w:r>
      <w:r>
        <w:rPr>
          <w:rFonts w:hint="eastAsia" w:ascii="方正仿宋_GB2312" w:hAnsi="方正仿宋_GB2312" w:eastAsia="方正仿宋_GB2312" w:cs="方正仿宋_GB2312"/>
          <w:sz w:val="32"/>
          <w:szCs w:val="32"/>
          <w:highlight w:val="none"/>
          <w:lang w:val="en-US" w:eastAsia="zh-CN"/>
        </w:rPr>
        <w:t>/专业学位</w:t>
      </w:r>
      <w:r>
        <w:rPr>
          <w:rFonts w:hint="eastAsia" w:ascii="方正仿宋_GB2312" w:hAnsi="方正仿宋_GB2312" w:eastAsia="方正仿宋_GB2312" w:cs="方正仿宋_GB2312"/>
          <w:sz w:val="32"/>
          <w:szCs w:val="32"/>
          <w:highlight w:val="none"/>
        </w:rPr>
        <w:t>博士</w:t>
      </w:r>
      <w:r>
        <w:rPr>
          <w:rFonts w:hint="default" w:ascii="Times New Roman" w:hAnsi="Times New Roman" w:eastAsia="方正仿宋_GB2312" w:cs="Times New Roman"/>
          <w:sz w:val="32"/>
          <w:szCs w:val="32"/>
          <w:highlight w:val="none"/>
        </w:rPr>
        <w:t>1</w:t>
      </w:r>
      <w:r>
        <w:rPr>
          <w:rFonts w:hint="default" w:ascii="Times New Roman" w:hAnsi="Times New Roman" w:eastAsia="方正仿宋_GB2312" w:cs="Times New Roman"/>
          <w:sz w:val="32"/>
          <w:szCs w:val="32"/>
          <w:highlight w:val="none"/>
          <w:lang w:val="en-US" w:eastAsia="zh-CN"/>
        </w:rPr>
        <w:t>0</w:t>
      </w:r>
      <w:r>
        <w:rPr>
          <w:rFonts w:hint="eastAsia" w:ascii="方正仿宋_GB2312" w:hAnsi="方正仿宋_GB2312" w:eastAsia="方正仿宋_GB2312" w:cs="方正仿宋_GB2312"/>
          <w:sz w:val="32"/>
          <w:szCs w:val="32"/>
          <w:highlight w:val="none"/>
        </w:rPr>
        <w:t>人</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lang w:val="en-US" w:eastAsia="zh-CN"/>
        </w:rPr>
        <w:t>最终招生数以教育部下达计划为准</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rPr>
        <w:t>，按照校内导师招生学院和专业对应录取。</w:t>
      </w:r>
    </w:p>
    <w:p w14:paraId="18E27C56">
      <w:pPr>
        <w:spacing w:line="560" w:lineRule="exact"/>
        <w:ind w:firstLine="640" w:firstLineChars="200"/>
        <w:rPr>
          <w:rFonts w:ascii="黑体" w:hAnsi="黑体" w:eastAsia="黑体" w:cs="黑体"/>
          <w:sz w:val="32"/>
          <w:szCs w:val="32"/>
          <w:highlight w:val="none"/>
        </w:rPr>
      </w:pPr>
      <w:r>
        <w:rPr>
          <w:rFonts w:ascii="黑体" w:hAnsi="黑体" w:eastAsia="黑体" w:cs="黑体"/>
          <w:sz w:val="32"/>
          <w:szCs w:val="32"/>
          <w:highlight w:val="none"/>
        </w:rPr>
        <w:t>四、学习方式、学制</w:t>
      </w:r>
    </w:p>
    <w:p w14:paraId="7581BE4D">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本次专项招生限录取全日制非定向类型，学制</w:t>
      </w:r>
      <w:r>
        <w:rPr>
          <w:rFonts w:hint="eastAsia" w:ascii="Times New Roman" w:hAnsi="Times New Roman" w:eastAsia="方正仿宋_GB2312" w:cs="Times New Roman"/>
          <w:sz w:val="32"/>
          <w:szCs w:val="32"/>
          <w:highlight w:val="none"/>
        </w:rPr>
        <w:t>4</w:t>
      </w:r>
      <w:r>
        <w:rPr>
          <w:rFonts w:hint="eastAsia" w:ascii="方正仿宋_GB2312" w:hAnsi="方正仿宋_GB2312" w:eastAsia="方正仿宋_GB2312" w:cs="方正仿宋_GB2312"/>
          <w:sz w:val="32"/>
          <w:szCs w:val="32"/>
          <w:highlight w:val="none"/>
        </w:rPr>
        <w:t>年。</w:t>
      </w:r>
    </w:p>
    <w:p w14:paraId="526EA2C7">
      <w:pPr>
        <w:spacing w:line="560" w:lineRule="exact"/>
        <w:ind w:firstLine="640" w:firstLineChars="200"/>
        <w:rPr>
          <w:rFonts w:ascii="黑体" w:hAnsi="黑体" w:eastAsia="黑体" w:cs="黑体"/>
          <w:sz w:val="32"/>
          <w:szCs w:val="32"/>
          <w:highlight w:val="none"/>
        </w:rPr>
      </w:pPr>
      <w:r>
        <w:rPr>
          <w:rFonts w:ascii="黑体" w:hAnsi="黑体" w:eastAsia="黑体" w:cs="黑体"/>
          <w:sz w:val="32"/>
          <w:szCs w:val="32"/>
          <w:highlight w:val="none"/>
        </w:rPr>
        <w:t>五、申请流程</w:t>
      </w:r>
    </w:p>
    <w:p w14:paraId="26409AC6">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Times New Roman" w:hAnsi="Times New Roman" w:eastAsia="方正仿宋_GB2312" w:cs="Times New Roman"/>
          <w:sz w:val="32"/>
          <w:szCs w:val="32"/>
          <w:highlight w:val="none"/>
        </w:rPr>
        <w:t>1.</w:t>
      </w:r>
      <w:r>
        <w:rPr>
          <w:rFonts w:hint="eastAsia" w:ascii="方正仿宋_GB2312" w:hAnsi="方正仿宋_GB2312" w:eastAsia="方正仿宋_GB2312" w:cs="方正仿宋_GB2312"/>
          <w:sz w:val="32"/>
          <w:szCs w:val="32"/>
          <w:highlight w:val="none"/>
        </w:rPr>
        <w:t>申请条件</w:t>
      </w:r>
    </w:p>
    <w:p w14:paraId="05FB4FB9">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申请人需符合《西安电子科技大学</w:t>
      </w:r>
      <w:r>
        <w:rPr>
          <w:rFonts w:hint="eastAsia" w:ascii="Times New Roman" w:hAnsi="Times New Roman" w:eastAsia="方正仿宋_GB2312" w:cs="Times New Roman"/>
          <w:sz w:val="32"/>
          <w:szCs w:val="32"/>
          <w:highlight w:val="none"/>
          <w:lang w:eastAsia="zh-CN"/>
        </w:rPr>
        <w:t>2025</w:t>
      </w:r>
      <w:r>
        <w:rPr>
          <w:rFonts w:hint="eastAsia" w:ascii="方正仿宋_GB2312" w:hAnsi="方正仿宋_GB2312" w:eastAsia="方正仿宋_GB2312" w:cs="方正仿宋_GB2312"/>
          <w:sz w:val="32"/>
          <w:szCs w:val="32"/>
          <w:highlight w:val="none"/>
          <w:lang w:eastAsia="zh-CN"/>
        </w:rPr>
        <w:t>年</w:t>
      </w:r>
      <w:r>
        <w:rPr>
          <w:rFonts w:hint="eastAsia" w:ascii="方正仿宋_GB2312" w:hAnsi="方正仿宋_GB2312" w:eastAsia="方正仿宋_GB2312" w:cs="方正仿宋_GB2312"/>
          <w:sz w:val="32"/>
          <w:szCs w:val="32"/>
          <w:highlight w:val="none"/>
        </w:rPr>
        <w:t>博士研究生招生简章》及其相关申请考核实施细则中的报考条件。</w:t>
      </w:r>
    </w:p>
    <w:p w14:paraId="1B25AB6D">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default" w:ascii="Times New Roman" w:hAnsi="Times New Roman" w:eastAsia="方正仿宋_GB2312" w:cs="Times New Roman"/>
          <w:sz w:val="32"/>
          <w:szCs w:val="32"/>
          <w:highlight w:val="none"/>
        </w:rPr>
        <w:t>2.</w:t>
      </w:r>
      <w:r>
        <w:rPr>
          <w:rFonts w:hint="default" w:ascii="方正仿宋_GB2312" w:hAnsi="方正仿宋_GB2312" w:eastAsia="方正仿宋_GB2312" w:cs="方正仿宋_GB2312"/>
          <w:sz w:val="32"/>
          <w:szCs w:val="32"/>
          <w:highlight w:val="none"/>
        </w:rPr>
        <w:t>申请时间及报名流程</w:t>
      </w:r>
    </w:p>
    <w:p w14:paraId="2FAC954E">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default" w:ascii="方正仿宋_GB2312" w:hAnsi="方正仿宋_GB2312" w:eastAsia="方正仿宋_GB2312" w:cs="方正仿宋_GB2312"/>
          <w:sz w:val="32"/>
          <w:szCs w:val="32"/>
          <w:highlight w:val="none"/>
        </w:rPr>
        <w:t>按照</w:t>
      </w:r>
      <w:r>
        <w:rPr>
          <w:rFonts w:hint="default" w:ascii="Times New Roman" w:hAnsi="Times New Roman" w:eastAsia="方正仿宋_GB2312" w:cs="Times New Roman"/>
          <w:sz w:val="32"/>
          <w:szCs w:val="32"/>
          <w:highlight w:val="none"/>
          <w:lang w:eastAsia="zh-CN"/>
        </w:rPr>
        <w:t>2025</w:t>
      </w:r>
      <w:r>
        <w:rPr>
          <w:rFonts w:hint="default" w:ascii="方正仿宋_GB2312" w:hAnsi="方正仿宋_GB2312" w:eastAsia="方正仿宋_GB2312" w:cs="方正仿宋_GB2312"/>
          <w:sz w:val="32"/>
          <w:szCs w:val="32"/>
          <w:highlight w:val="none"/>
          <w:lang w:eastAsia="zh-CN"/>
        </w:rPr>
        <w:t>年</w:t>
      </w:r>
      <w:r>
        <w:rPr>
          <w:rFonts w:hint="default" w:ascii="方正仿宋_GB2312" w:hAnsi="方正仿宋_GB2312" w:eastAsia="方正仿宋_GB2312" w:cs="方正仿宋_GB2312"/>
          <w:sz w:val="32"/>
          <w:szCs w:val="32"/>
          <w:highlight w:val="none"/>
        </w:rPr>
        <w:t>各类专项博士研究生招生的通知进行操作，专项计划选择“</w:t>
      </w:r>
      <w:r>
        <w:rPr>
          <w:rFonts w:hint="eastAsia" w:ascii="方正仿宋_GB2312" w:hAnsi="方正仿宋_GB2312" w:eastAsia="方正仿宋_GB2312" w:cs="方正仿宋_GB2312"/>
          <w:sz w:val="32"/>
          <w:szCs w:val="32"/>
          <w:highlight w:val="none"/>
          <w:lang w:eastAsia="zh-CN"/>
        </w:rPr>
        <w:t>乾元国家实验室</w:t>
      </w:r>
      <w:r>
        <w:rPr>
          <w:rFonts w:hint="default" w:ascii="方正仿宋_GB2312" w:hAnsi="方正仿宋_GB2312" w:eastAsia="方正仿宋_GB2312" w:cs="方正仿宋_GB2312"/>
          <w:sz w:val="32"/>
          <w:szCs w:val="32"/>
          <w:highlight w:val="none"/>
        </w:rPr>
        <w:t>联培专项计划”。</w:t>
      </w:r>
    </w:p>
    <w:p w14:paraId="1DB9C454">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Times New Roman" w:hAnsi="Times New Roman" w:eastAsia="方正仿宋_GB2312" w:cs="Times New Roman"/>
          <w:sz w:val="32"/>
          <w:szCs w:val="32"/>
          <w:highlight w:val="none"/>
        </w:rPr>
        <w:t>3.</w:t>
      </w:r>
      <w:r>
        <w:rPr>
          <w:rFonts w:hint="eastAsia" w:ascii="方正仿宋_GB2312" w:hAnsi="方正仿宋_GB2312" w:eastAsia="方正仿宋_GB2312" w:cs="方正仿宋_GB2312"/>
          <w:sz w:val="32"/>
          <w:szCs w:val="32"/>
          <w:highlight w:val="none"/>
        </w:rPr>
        <w:t>申请材料</w:t>
      </w:r>
    </w:p>
    <w:p w14:paraId="470E6AD0">
      <w:pPr>
        <w:spacing w:line="560" w:lineRule="exact"/>
        <w:ind w:firstLine="640" w:firstLineChars="200"/>
        <w:rPr>
          <w:rFonts w:hint="default"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rPr>
        <w:t>考生须提交《西安电子科技大学</w:t>
      </w:r>
      <w:r>
        <w:rPr>
          <w:rFonts w:hint="eastAsia" w:ascii="Times New Roman" w:hAnsi="Times New Roman" w:eastAsia="方正仿宋_GB2312" w:cs="Times New Roman"/>
          <w:sz w:val="32"/>
          <w:szCs w:val="32"/>
          <w:highlight w:val="none"/>
          <w:lang w:eastAsia="zh-CN"/>
        </w:rPr>
        <w:t>2025</w:t>
      </w:r>
      <w:r>
        <w:rPr>
          <w:rFonts w:hint="eastAsia" w:ascii="方正仿宋_GB2312" w:hAnsi="方正仿宋_GB2312" w:eastAsia="方正仿宋_GB2312" w:cs="方正仿宋_GB2312"/>
          <w:sz w:val="32"/>
          <w:szCs w:val="32"/>
          <w:highlight w:val="none"/>
          <w:lang w:eastAsia="zh-CN"/>
        </w:rPr>
        <w:t>年</w:t>
      </w:r>
      <w:r>
        <w:rPr>
          <w:rFonts w:hint="eastAsia" w:ascii="方正仿宋_GB2312" w:hAnsi="方正仿宋_GB2312" w:eastAsia="方正仿宋_GB2312" w:cs="方正仿宋_GB2312"/>
          <w:sz w:val="32"/>
          <w:szCs w:val="32"/>
          <w:highlight w:val="none"/>
        </w:rPr>
        <w:t>博士研究生招生简章》及学院报考方案中要求的申请材料，纸质材料直接寄送报名学院。</w:t>
      </w:r>
      <w:r>
        <w:rPr>
          <w:rFonts w:hint="eastAsia" w:ascii="方正仿宋_GB2312" w:hAnsi="方正仿宋_GB2312" w:eastAsia="方正仿宋_GB2312" w:cs="方正仿宋_GB2312"/>
          <w:sz w:val="32"/>
          <w:szCs w:val="32"/>
          <w:highlight w:val="none"/>
          <w:lang w:val="en-US" w:eastAsia="zh-CN"/>
        </w:rPr>
        <w:t>电子版（需汇总成一个</w:t>
      </w:r>
      <w:r>
        <w:rPr>
          <w:rFonts w:hint="default" w:ascii="Times New Roman" w:hAnsi="Times New Roman" w:eastAsia="方正仿宋_GB2312" w:cs="Times New Roman"/>
          <w:sz w:val="32"/>
          <w:szCs w:val="32"/>
          <w:highlight w:val="none"/>
          <w:lang w:val="en-US" w:eastAsia="zh-CN"/>
        </w:rPr>
        <w:t>PDF</w:t>
      </w:r>
      <w:r>
        <w:rPr>
          <w:rFonts w:hint="eastAsia" w:ascii="Times New Roman" w:hAnsi="Times New Roman" w:eastAsia="方正仿宋_GB2312" w:cs="Times New Roman"/>
          <w:sz w:val="32"/>
          <w:szCs w:val="32"/>
          <w:highlight w:val="none"/>
          <w:lang w:val="en-US" w:eastAsia="zh-CN"/>
        </w:rPr>
        <w:t>格式</w:t>
      </w:r>
      <w:r>
        <w:rPr>
          <w:rFonts w:hint="eastAsia" w:ascii="方正仿宋_GB2312" w:hAnsi="方正仿宋_GB2312" w:eastAsia="方正仿宋_GB2312" w:cs="方正仿宋_GB2312"/>
          <w:sz w:val="32"/>
          <w:szCs w:val="32"/>
          <w:highlight w:val="none"/>
          <w:lang w:val="en-US" w:eastAsia="zh-CN"/>
        </w:rPr>
        <w:t>）整合发送至实验室邮箱：</w:t>
      </w:r>
      <w:r>
        <w:rPr>
          <w:rFonts w:hint="default" w:ascii="Times New Roman" w:hAnsi="Times New Roman" w:eastAsia="方正仿宋_GB2312" w:cs="Times New Roman"/>
          <w:sz w:val="32"/>
          <w:szCs w:val="32"/>
          <w:highlight w:val="none"/>
          <w:lang w:val="en-US" w:eastAsia="zh-CN"/>
        </w:rPr>
        <w:t>QYLAB_student@163.com</w:t>
      </w:r>
      <w:r>
        <w:rPr>
          <w:rFonts w:hint="eastAsia" w:ascii="方正仿宋_GB2312" w:hAnsi="方正仿宋_GB2312" w:eastAsia="方正仿宋_GB2312" w:cs="方正仿宋_GB2312"/>
          <w:sz w:val="32"/>
          <w:szCs w:val="32"/>
          <w:highlight w:val="none"/>
          <w:lang w:val="en-US" w:eastAsia="zh-CN"/>
        </w:rPr>
        <w:t>。</w:t>
      </w:r>
    </w:p>
    <w:p w14:paraId="5000454C">
      <w:pPr>
        <w:spacing w:line="560" w:lineRule="exact"/>
        <w:ind w:firstLine="640" w:firstLineChars="200"/>
        <w:rPr>
          <w:rFonts w:ascii="黑体" w:hAnsi="黑体" w:eastAsia="黑体" w:cs="黑体"/>
          <w:sz w:val="32"/>
          <w:szCs w:val="32"/>
          <w:highlight w:val="none"/>
        </w:rPr>
      </w:pPr>
      <w:r>
        <w:rPr>
          <w:rFonts w:ascii="黑体" w:hAnsi="黑体" w:eastAsia="黑体" w:cs="黑体"/>
          <w:sz w:val="32"/>
          <w:szCs w:val="32"/>
          <w:highlight w:val="none"/>
        </w:rPr>
        <w:t>六、招生考核</w:t>
      </w:r>
    </w:p>
    <w:p w14:paraId="61959238">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招生考核分为材料评议和复试考核两个阶段，由西安电子科技大学与</w:t>
      </w:r>
      <w:r>
        <w:rPr>
          <w:rFonts w:hint="eastAsia" w:ascii="方正仿宋_GB2312" w:hAnsi="方正仿宋_GB2312" w:eastAsia="方正仿宋_GB2312" w:cs="方正仿宋_GB2312"/>
          <w:sz w:val="32"/>
          <w:szCs w:val="32"/>
          <w:highlight w:val="none"/>
          <w:lang w:eastAsia="zh-CN"/>
        </w:rPr>
        <w:t>乾元国家实验室</w:t>
      </w:r>
      <w:r>
        <w:rPr>
          <w:rFonts w:hint="eastAsia" w:ascii="方正仿宋_GB2312" w:hAnsi="方正仿宋_GB2312" w:eastAsia="方正仿宋_GB2312" w:cs="方正仿宋_GB2312"/>
          <w:sz w:val="32"/>
          <w:szCs w:val="32"/>
          <w:highlight w:val="none"/>
        </w:rPr>
        <w:t>共同组织。</w:t>
      </w:r>
    </w:p>
    <w:p w14:paraId="564E5393">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Times New Roman" w:hAnsi="Times New Roman" w:eastAsia="方正仿宋_GB2312" w:cs="Times New Roman"/>
          <w:sz w:val="32"/>
          <w:szCs w:val="32"/>
          <w:highlight w:val="none"/>
        </w:rPr>
        <w:t>1.</w:t>
      </w:r>
      <w:r>
        <w:rPr>
          <w:rFonts w:hint="eastAsia" w:ascii="方正仿宋_GB2312" w:hAnsi="方正仿宋_GB2312" w:eastAsia="方正仿宋_GB2312" w:cs="方正仿宋_GB2312"/>
          <w:sz w:val="32"/>
          <w:szCs w:val="32"/>
          <w:highlight w:val="none"/>
        </w:rPr>
        <w:t>材料评议。对考生的报名材料进行审查评议，根据综合评议结果择优确定参加复试考核名单，并通知考生参加复试考核。</w:t>
      </w:r>
    </w:p>
    <w:p w14:paraId="3A5BED9D">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Times New Roman" w:hAnsi="Times New Roman" w:eastAsia="方正仿宋_GB2312" w:cs="Times New Roman"/>
          <w:sz w:val="32"/>
          <w:szCs w:val="32"/>
          <w:highlight w:val="none"/>
        </w:rPr>
        <w:t>2.</w:t>
      </w:r>
      <w:r>
        <w:rPr>
          <w:rFonts w:hint="eastAsia" w:ascii="方正仿宋_GB2312" w:hAnsi="方正仿宋_GB2312" w:eastAsia="方正仿宋_GB2312" w:cs="方正仿宋_GB2312"/>
          <w:sz w:val="32"/>
          <w:szCs w:val="32"/>
          <w:highlight w:val="none"/>
        </w:rPr>
        <w:t>复试考核。复试综合考核以面试考核为主，按照报考学院复试安排进行。根据考核需要，可安排其他形式的考核，包括但不限于笔试、机试等。</w:t>
      </w:r>
    </w:p>
    <w:p w14:paraId="37C30028">
      <w:pPr>
        <w:spacing w:line="560" w:lineRule="exact"/>
        <w:ind w:firstLine="640" w:firstLineChars="200"/>
        <w:rPr>
          <w:rFonts w:ascii="黑体" w:hAnsi="黑体" w:eastAsia="黑体" w:cs="黑体"/>
          <w:sz w:val="32"/>
          <w:szCs w:val="32"/>
          <w:highlight w:val="none"/>
        </w:rPr>
      </w:pPr>
      <w:r>
        <w:rPr>
          <w:rFonts w:ascii="黑体" w:hAnsi="黑体" w:eastAsia="黑体" w:cs="黑体"/>
          <w:sz w:val="32"/>
          <w:szCs w:val="32"/>
          <w:highlight w:val="none"/>
        </w:rPr>
        <w:t>七、录取</w:t>
      </w:r>
    </w:p>
    <w:p w14:paraId="4BD82F79">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以考生的复试考核成绩为主要依据，综合考虑材料评议结果及导师招生培养情况，择优确定拟录取名单。</w:t>
      </w:r>
    </w:p>
    <w:p w14:paraId="3A35EE56">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本专项博士研究生录取类别为非定向就业，考生拟录取后须将人事档案、组织关系转入学校，入学后全脱产学习。</w:t>
      </w:r>
    </w:p>
    <w:p w14:paraId="66E64D3F">
      <w:pPr>
        <w:spacing w:line="560" w:lineRule="exact"/>
        <w:ind w:firstLine="640" w:firstLineChars="200"/>
        <w:rPr>
          <w:rFonts w:ascii="黑体" w:hAnsi="黑体" w:eastAsia="黑体" w:cs="黑体"/>
          <w:sz w:val="32"/>
          <w:szCs w:val="32"/>
          <w:highlight w:val="none"/>
        </w:rPr>
      </w:pPr>
      <w:r>
        <w:rPr>
          <w:rFonts w:ascii="黑体" w:hAnsi="黑体" w:eastAsia="黑体" w:cs="黑体"/>
          <w:sz w:val="32"/>
          <w:szCs w:val="32"/>
          <w:highlight w:val="none"/>
        </w:rPr>
        <w:t>八、培养、授位</w:t>
      </w:r>
    </w:p>
    <w:p w14:paraId="57820851">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Times New Roman" w:hAnsi="Times New Roman" w:eastAsia="方正仿宋_GB2312" w:cs="Times New Roman"/>
          <w:sz w:val="32"/>
          <w:szCs w:val="32"/>
          <w:highlight w:val="none"/>
        </w:rPr>
        <w:t>1.</w:t>
      </w:r>
      <w:r>
        <w:rPr>
          <w:rFonts w:hint="eastAsia" w:ascii="方正仿宋_GB2312" w:hAnsi="方正仿宋_GB2312" w:eastAsia="方正仿宋_GB2312" w:cs="方正仿宋_GB2312"/>
          <w:sz w:val="32"/>
          <w:szCs w:val="32"/>
          <w:highlight w:val="none"/>
        </w:rPr>
        <w:t>学生按照培养计划，课程学习在西安电子科技大学进行，科研实践在</w:t>
      </w:r>
      <w:r>
        <w:rPr>
          <w:rFonts w:hint="eastAsia" w:ascii="方正仿宋_GB2312" w:hAnsi="方正仿宋_GB2312" w:eastAsia="方正仿宋_GB2312" w:cs="方正仿宋_GB2312"/>
          <w:sz w:val="32"/>
          <w:szCs w:val="32"/>
          <w:highlight w:val="none"/>
          <w:lang w:eastAsia="zh-CN"/>
        </w:rPr>
        <w:t>乾元国家实验室</w:t>
      </w:r>
      <w:r>
        <w:rPr>
          <w:rFonts w:hint="eastAsia" w:ascii="方正仿宋_GB2312" w:hAnsi="方正仿宋_GB2312" w:eastAsia="方正仿宋_GB2312" w:cs="方正仿宋_GB2312"/>
          <w:sz w:val="32"/>
          <w:szCs w:val="32"/>
          <w:highlight w:val="none"/>
        </w:rPr>
        <w:t>进行，学位（毕业）论文工作结合</w:t>
      </w:r>
      <w:r>
        <w:rPr>
          <w:rFonts w:hint="eastAsia" w:ascii="方正仿宋_GB2312" w:hAnsi="方正仿宋_GB2312" w:eastAsia="方正仿宋_GB2312" w:cs="方正仿宋_GB2312"/>
          <w:sz w:val="32"/>
          <w:szCs w:val="32"/>
          <w:highlight w:val="none"/>
          <w:lang w:eastAsia="zh-CN"/>
        </w:rPr>
        <w:t>乾元国家实验室</w:t>
      </w:r>
      <w:r>
        <w:rPr>
          <w:rFonts w:hint="eastAsia" w:ascii="方正仿宋_GB2312" w:hAnsi="方正仿宋_GB2312" w:eastAsia="方正仿宋_GB2312" w:cs="方正仿宋_GB2312"/>
          <w:sz w:val="32"/>
          <w:szCs w:val="32"/>
          <w:highlight w:val="none"/>
        </w:rPr>
        <w:t xml:space="preserve">承担的科研任务完成。 </w:t>
      </w:r>
    </w:p>
    <w:p w14:paraId="51B10219">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Times New Roman" w:hAnsi="Times New Roman" w:eastAsia="方正仿宋_GB2312" w:cs="Times New Roman"/>
          <w:sz w:val="32"/>
          <w:szCs w:val="32"/>
          <w:highlight w:val="none"/>
        </w:rPr>
        <w:t>2.</w:t>
      </w:r>
      <w:r>
        <w:rPr>
          <w:rFonts w:hint="eastAsia" w:ascii="方正仿宋_GB2312" w:hAnsi="方正仿宋_GB2312" w:eastAsia="方正仿宋_GB2312" w:cs="方正仿宋_GB2312"/>
          <w:sz w:val="32"/>
          <w:szCs w:val="32"/>
          <w:highlight w:val="none"/>
        </w:rPr>
        <w:t>西安电子科技大学根据修业年限、学业成绩等，按照国家和学校有关规定发放相应的、注明学习方式（全日制）的毕业证书；其学业水平达到国家和学校规定的学位标准，可以申请授予相应的学位证书。</w:t>
      </w:r>
    </w:p>
    <w:p w14:paraId="35CA7C8D">
      <w:pPr>
        <w:spacing w:line="560" w:lineRule="exact"/>
        <w:ind w:firstLine="640" w:firstLineChars="200"/>
        <w:rPr>
          <w:rFonts w:ascii="黑体" w:hAnsi="黑体" w:eastAsia="黑体" w:cs="黑体"/>
          <w:sz w:val="32"/>
          <w:szCs w:val="32"/>
          <w:highlight w:val="none"/>
        </w:rPr>
      </w:pPr>
      <w:r>
        <w:rPr>
          <w:rFonts w:ascii="黑体" w:hAnsi="黑体" w:eastAsia="黑体" w:cs="黑体"/>
          <w:sz w:val="32"/>
          <w:szCs w:val="32"/>
          <w:highlight w:val="none"/>
        </w:rPr>
        <w:t>九、其他</w:t>
      </w:r>
    </w:p>
    <w:p w14:paraId="7FA7483E">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Times New Roman" w:hAnsi="Times New Roman" w:eastAsia="方正仿宋_GB2312" w:cs="Times New Roman"/>
          <w:sz w:val="32"/>
          <w:szCs w:val="32"/>
          <w:highlight w:val="none"/>
        </w:rPr>
        <w:t>1.</w:t>
      </w:r>
      <w:r>
        <w:rPr>
          <w:rFonts w:hint="eastAsia" w:ascii="方正仿宋_GB2312" w:hAnsi="方正仿宋_GB2312" w:eastAsia="方正仿宋_GB2312" w:cs="方正仿宋_GB2312"/>
          <w:sz w:val="32"/>
          <w:szCs w:val="32"/>
          <w:highlight w:val="none"/>
        </w:rPr>
        <w:t>入学时间：</w:t>
      </w:r>
      <w:r>
        <w:rPr>
          <w:rFonts w:hint="eastAsia" w:ascii="Times New Roman" w:hAnsi="Times New Roman" w:eastAsia="方正仿宋_GB2312" w:cs="Times New Roman"/>
          <w:sz w:val="32"/>
          <w:szCs w:val="32"/>
          <w:highlight w:val="none"/>
          <w:lang w:eastAsia="zh-CN"/>
        </w:rPr>
        <w:t>2025</w:t>
      </w:r>
      <w:r>
        <w:rPr>
          <w:rFonts w:hint="eastAsia" w:ascii="方正仿宋_GB2312" w:hAnsi="方正仿宋_GB2312" w:eastAsia="方正仿宋_GB2312" w:cs="方正仿宋_GB2312"/>
          <w:sz w:val="32"/>
          <w:szCs w:val="32"/>
          <w:highlight w:val="none"/>
          <w:lang w:eastAsia="zh-CN"/>
        </w:rPr>
        <w:t>年</w:t>
      </w:r>
      <w:r>
        <w:rPr>
          <w:rFonts w:hint="eastAsia" w:ascii="方正仿宋_GB2312" w:hAnsi="方正仿宋_GB2312" w:eastAsia="方正仿宋_GB2312" w:cs="方正仿宋_GB2312"/>
          <w:sz w:val="32"/>
          <w:szCs w:val="32"/>
          <w:highlight w:val="none"/>
        </w:rPr>
        <w:t>秋季学期。</w:t>
      </w:r>
    </w:p>
    <w:p w14:paraId="1E52E9B9">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Times New Roman" w:hAnsi="Times New Roman" w:eastAsia="方正仿宋_GB2312" w:cs="Times New Roman"/>
          <w:sz w:val="32"/>
          <w:szCs w:val="32"/>
          <w:highlight w:val="none"/>
        </w:rPr>
        <w:t>2.</w:t>
      </w:r>
      <w:r>
        <w:rPr>
          <w:rFonts w:hint="eastAsia" w:ascii="方正仿宋_GB2312" w:hAnsi="方正仿宋_GB2312" w:eastAsia="方正仿宋_GB2312" w:cs="方正仿宋_GB2312"/>
          <w:sz w:val="32"/>
          <w:szCs w:val="32"/>
          <w:highlight w:val="none"/>
        </w:rPr>
        <w:t>学费与奖助：学费按照西安电子科技大学同类型博士研究生标准由学校收取。</w:t>
      </w:r>
      <w:r>
        <w:rPr>
          <w:rFonts w:hint="eastAsia" w:ascii="方正仿宋_GB2312" w:hAnsi="方正仿宋_GB2312" w:eastAsia="方正仿宋_GB2312" w:cs="方正仿宋_GB2312"/>
          <w:sz w:val="32"/>
          <w:szCs w:val="32"/>
          <w:highlight w:val="none"/>
          <w:lang w:eastAsia="zh-CN"/>
        </w:rPr>
        <w:t>乾元国家实验室</w:t>
      </w:r>
      <w:r>
        <w:rPr>
          <w:rFonts w:hint="eastAsia" w:ascii="方正仿宋_GB2312" w:hAnsi="方正仿宋_GB2312" w:eastAsia="方正仿宋_GB2312" w:cs="方正仿宋_GB2312"/>
          <w:sz w:val="32"/>
          <w:szCs w:val="32"/>
          <w:highlight w:val="none"/>
        </w:rPr>
        <w:t>为联培博士生发放各类资助。</w:t>
      </w:r>
    </w:p>
    <w:p w14:paraId="005BF4D4">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Times New Roman" w:hAnsi="Times New Roman" w:eastAsia="方正仿宋_GB2312" w:cs="Times New Roman"/>
          <w:sz w:val="32"/>
          <w:szCs w:val="32"/>
          <w:highlight w:val="none"/>
        </w:rPr>
        <w:t>3.</w:t>
      </w:r>
      <w:r>
        <w:rPr>
          <w:rFonts w:hint="eastAsia" w:ascii="方正仿宋_GB2312" w:hAnsi="方正仿宋_GB2312" w:eastAsia="方正仿宋_GB2312" w:cs="方正仿宋_GB2312"/>
          <w:sz w:val="32"/>
          <w:szCs w:val="32"/>
          <w:highlight w:val="none"/>
        </w:rPr>
        <w:t>住宿安排：课程学习阶段由学校提供宿舍，科研实践阶段由</w:t>
      </w:r>
      <w:r>
        <w:rPr>
          <w:rFonts w:hint="eastAsia" w:ascii="方正仿宋_GB2312" w:hAnsi="方正仿宋_GB2312" w:eastAsia="方正仿宋_GB2312" w:cs="方正仿宋_GB2312"/>
          <w:sz w:val="32"/>
          <w:szCs w:val="32"/>
          <w:highlight w:val="none"/>
          <w:lang w:eastAsia="zh-CN"/>
        </w:rPr>
        <w:t>乾元国家实验室</w:t>
      </w:r>
      <w:r>
        <w:rPr>
          <w:rFonts w:hint="eastAsia" w:ascii="方正仿宋_GB2312" w:hAnsi="方正仿宋_GB2312" w:eastAsia="方正仿宋_GB2312" w:cs="方正仿宋_GB2312"/>
          <w:sz w:val="32"/>
          <w:szCs w:val="32"/>
          <w:highlight w:val="none"/>
        </w:rPr>
        <w:t>提供集中住宿。</w:t>
      </w:r>
    </w:p>
    <w:p w14:paraId="39377726">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Times New Roman" w:hAnsi="Times New Roman" w:eastAsia="方正仿宋_GB2312" w:cs="Times New Roman"/>
          <w:sz w:val="32"/>
          <w:szCs w:val="32"/>
          <w:highlight w:val="none"/>
        </w:rPr>
        <w:t>4.</w:t>
      </w:r>
      <w:r>
        <w:rPr>
          <w:rFonts w:hint="eastAsia" w:ascii="方正仿宋_GB2312" w:hAnsi="方正仿宋_GB2312" w:eastAsia="方正仿宋_GB2312" w:cs="方正仿宋_GB2312"/>
          <w:sz w:val="32"/>
          <w:szCs w:val="32"/>
          <w:highlight w:val="none"/>
        </w:rPr>
        <w:t>未尽事宜参见《西安电子科技大学</w:t>
      </w:r>
      <w:r>
        <w:rPr>
          <w:rFonts w:hint="eastAsia" w:ascii="Times New Roman" w:hAnsi="Times New Roman" w:eastAsia="方正仿宋_GB2312" w:cs="Times New Roman"/>
          <w:sz w:val="32"/>
          <w:szCs w:val="32"/>
          <w:highlight w:val="none"/>
          <w:lang w:eastAsia="zh-CN"/>
        </w:rPr>
        <w:t>2025</w:t>
      </w:r>
      <w:r>
        <w:rPr>
          <w:rFonts w:hint="eastAsia" w:ascii="方正仿宋_GB2312" w:hAnsi="方正仿宋_GB2312" w:eastAsia="方正仿宋_GB2312" w:cs="方正仿宋_GB2312"/>
          <w:sz w:val="32"/>
          <w:szCs w:val="32"/>
          <w:highlight w:val="none"/>
          <w:lang w:eastAsia="zh-CN"/>
        </w:rPr>
        <w:t>年</w:t>
      </w:r>
      <w:r>
        <w:rPr>
          <w:rFonts w:hint="eastAsia" w:ascii="方正仿宋_GB2312" w:hAnsi="方正仿宋_GB2312" w:eastAsia="方正仿宋_GB2312" w:cs="方正仿宋_GB2312"/>
          <w:sz w:val="32"/>
          <w:szCs w:val="32"/>
          <w:highlight w:val="none"/>
        </w:rPr>
        <w:t>博士研究生招生简章》及其相关的实施细则。</w:t>
      </w:r>
    </w:p>
    <w:p w14:paraId="008C0BF8">
      <w:pPr>
        <w:spacing w:line="560" w:lineRule="exact"/>
        <w:ind w:firstLine="640" w:firstLineChars="200"/>
        <w:rPr>
          <w:rFonts w:ascii="黑体" w:hAnsi="黑体" w:eastAsia="黑体" w:cs="黑体"/>
          <w:sz w:val="32"/>
          <w:szCs w:val="32"/>
          <w:highlight w:val="none"/>
        </w:rPr>
      </w:pPr>
      <w:r>
        <w:rPr>
          <w:rFonts w:ascii="黑体" w:hAnsi="黑体" w:eastAsia="黑体" w:cs="黑体"/>
          <w:sz w:val="32"/>
          <w:szCs w:val="32"/>
          <w:highlight w:val="none"/>
        </w:rPr>
        <w:t>十、联系方式</w:t>
      </w:r>
    </w:p>
    <w:p w14:paraId="10E91AA5">
      <w:pPr>
        <w:spacing w:line="560" w:lineRule="exact"/>
        <w:ind w:firstLine="640" w:firstLineChars="200"/>
        <w:rPr>
          <w:rFonts w:hint="default"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eastAsia="zh-CN"/>
        </w:rPr>
        <w:t>乾元国家实验室</w:t>
      </w:r>
      <w:r>
        <w:rPr>
          <w:rFonts w:hint="eastAsia" w:ascii="方正仿宋_GB2312" w:hAnsi="方正仿宋_GB2312" w:eastAsia="方正仿宋_GB2312" w:cs="方正仿宋_GB2312"/>
          <w:sz w:val="32"/>
          <w:szCs w:val="32"/>
          <w:highlight w:val="none"/>
          <w:lang w:val="en-US" w:eastAsia="zh-CN"/>
        </w:rPr>
        <w:t>人力资源部</w:t>
      </w:r>
    </w:p>
    <w:p w14:paraId="0D230811">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联系电话：</w:t>
      </w:r>
      <w:r>
        <w:rPr>
          <w:rFonts w:hint="default" w:ascii="Times New Roman" w:hAnsi="Times New Roman" w:eastAsia="方正仿宋_GB2312" w:cs="Times New Roman"/>
          <w:sz w:val="32"/>
          <w:szCs w:val="32"/>
          <w:highlight w:val="none"/>
        </w:rPr>
        <w:t>0571282203</w:t>
      </w:r>
      <w:r>
        <w:rPr>
          <w:rFonts w:hint="default" w:ascii="Times New Roman" w:hAnsi="Times New Roman" w:eastAsia="方正仿宋_GB2312" w:cs="Times New Roman"/>
          <w:sz w:val="32"/>
          <w:szCs w:val="32"/>
          <w:highlight w:val="none"/>
          <w:lang w:val="en-US" w:eastAsia="zh-CN"/>
        </w:rPr>
        <w:t>1</w:t>
      </w:r>
      <w:r>
        <w:rPr>
          <w:rFonts w:hint="eastAsia" w:ascii="Times New Roman" w:hAnsi="Times New Roman" w:eastAsia="方正仿宋_GB2312" w:cs="Times New Roman"/>
          <w:sz w:val="32"/>
          <w:szCs w:val="32"/>
          <w:highlight w:val="none"/>
          <w:lang w:val="en-US" w:eastAsia="zh-CN"/>
        </w:rPr>
        <w:t>4</w:t>
      </w:r>
    </w:p>
    <w:p w14:paraId="55DAD574">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通信地址：浙江省杭州市西湖区转塘街道象山支弄</w:t>
      </w:r>
      <w:r>
        <w:rPr>
          <w:rFonts w:hint="eastAsia" w:ascii="Times New Roman" w:hAnsi="Times New Roman" w:eastAsia="方正仿宋_GB2312" w:cs="Times New Roman"/>
          <w:sz w:val="32"/>
          <w:szCs w:val="32"/>
          <w:highlight w:val="none"/>
        </w:rPr>
        <w:t>6</w:t>
      </w:r>
      <w:r>
        <w:rPr>
          <w:rFonts w:hint="eastAsia" w:ascii="方正仿宋_GB2312" w:hAnsi="方正仿宋_GB2312" w:eastAsia="方正仿宋_GB2312" w:cs="方正仿宋_GB2312"/>
          <w:sz w:val="32"/>
          <w:szCs w:val="32"/>
          <w:highlight w:val="none"/>
        </w:rPr>
        <w:t>号</w:t>
      </w:r>
    </w:p>
    <w:p w14:paraId="449D05F7">
      <w:pPr>
        <w:spacing w:line="560" w:lineRule="exact"/>
        <w:ind w:firstLine="640" w:firstLineChars="200"/>
        <w:rPr>
          <w:rFonts w:hint="eastAsia" w:ascii="方正仿宋_GB2312" w:hAnsi="方正仿宋_GB2312" w:eastAsia="方正仿宋_GB2312" w:cs="方正仿宋_GB2312"/>
          <w:sz w:val="32"/>
          <w:szCs w:val="32"/>
          <w:highlight w:val="none"/>
        </w:rPr>
      </w:pPr>
    </w:p>
    <w:p w14:paraId="4763E2B6">
      <w:pPr>
        <w:spacing w:line="560" w:lineRule="exact"/>
        <w:ind w:firstLine="2520" w:firstLineChars="1200"/>
        <w:jc w:val="center"/>
        <w:rPr>
          <w:rFonts w:hint="eastAsia" w:ascii="方正仿宋_GB2312" w:hAnsi="方正仿宋_GB2312" w:eastAsia="方正仿宋_GB2312" w:cs="方正仿宋_GB2312"/>
          <w:kern w:val="0"/>
          <w:sz w:val="32"/>
          <w:szCs w:val="32"/>
          <w:highlight w:val="none"/>
        </w:rPr>
      </w:pPr>
      <w:r>
        <w:rPr>
          <w:rFonts w:hint="eastAsia" w:ascii="Times New Roman" w:hAnsi="Times New Roman" w:eastAsia="等线" w:cs="Times New Roman"/>
          <w:highlight w:val="none"/>
          <w:lang w:val="en-US" w:eastAsia="zh-CN"/>
        </w:rPr>
        <w:t xml:space="preserve">                 </w:t>
      </w:r>
      <w:r>
        <w:rPr>
          <w:rFonts w:hint="eastAsia" w:ascii="方正仿宋_GB2312" w:hAnsi="方正仿宋_GB2312" w:eastAsia="方正仿宋_GB2312" w:cs="方正仿宋_GB2312"/>
          <w:sz w:val="32"/>
          <w:szCs w:val="32"/>
          <w:highlight w:val="none"/>
        </w:rPr>
        <w:t>西安电子科技大学</w:t>
      </w:r>
      <w:r>
        <w:rPr>
          <w:rFonts w:hint="eastAsia" w:ascii="方正仿宋_GB2312" w:hAnsi="方正仿宋_GB2312" w:eastAsia="方正仿宋_GB2312" w:cs="方正仿宋_GB2312"/>
          <w:kern w:val="0"/>
          <w:sz w:val="32"/>
          <w:szCs w:val="32"/>
          <w:highlight w:val="none"/>
        </w:rPr>
        <w:t>研招办</w:t>
      </w:r>
    </w:p>
    <w:p w14:paraId="328B6DC6">
      <w:pPr>
        <w:spacing w:line="560" w:lineRule="exact"/>
        <w:ind w:left="4200" w:firstLine="420"/>
        <w:jc w:val="both"/>
        <w:rPr>
          <w:rFonts w:hint="default" w:ascii="方正仿宋_GB2312" w:hAnsi="方正仿宋_GB2312" w:eastAsia="方正仿宋_GB2312" w:cs="方正仿宋_GB2312"/>
          <w:kern w:val="0"/>
          <w:sz w:val="32"/>
          <w:szCs w:val="32"/>
          <w:highlight w:val="none"/>
          <w:lang w:val="en-US" w:eastAsia="zh-CN"/>
        </w:rPr>
      </w:pPr>
      <w:r>
        <w:rPr>
          <w:rFonts w:hint="eastAsia" w:ascii="方正仿宋_GB2312" w:hAnsi="方正仿宋_GB2312" w:eastAsia="方正仿宋_GB2312" w:cs="方正仿宋_GB2312"/>
          <w:kern w:val="0"/>
          <w:sz w:val="32"/>
          <w:szCs w:val="32"/>
          <w:highlight w:val="none"/>
          <w:lang w:eastAsia="zh-CN"/>
        </w:rPr>
        <w:t>乾元国家实验室</w:t>
      </w:r>
      <w:r>
        <w:rPr>
          <w:rFonts w:hint="eastAsia" w:ascii="方正仿宋_GB2312" w:hAnsi="方正仿宋_GB2312" w:eastAsia="方正仿宋_GB2312" w:cs="方正仿宋_GB2312"/>
          <w:kern w:val="0"/>
          <w:sz w:val="32"/>
          <w:szCs w:val="32"/>
          <w:highlight w:val="none"/>
          <w:lang w:val="en-US" w:eastAsia="zh-CN"/>
        </w:rPr>
        <w:t>人力资源部</w:t>
      </w:r>
    </w:p>
    <w:p w14:paraId="5252C242">
      <w:pPr>
        <w:spacing w:line="560" w:lineRule="exact"/>
        <w:jc w:val="center"/>
        <w:rPr>
          <w:rFonts w:ascii="Times New Roman" w:hAnsi="Times New Roman" w:eastAsia="方正小标宋简体" w:cs="Times New Roman"/>
          <w:kern w:val="0"/>
          <w:sz w:val="32"/>
          <w:szCs w:val="28"/>
          <w:highlight w:val="none"/>
        </w:rPr>
      </w:pPr>
    </w:p>
    <w:p w14:paraId="1951D419">
      <w:pPr>
        <w:spacing w:line="560" w:lineRule="exact"/>
        <w:jc w:val="center"/>
        <w:rPr>
          <w:rFonts w:ascii="Times New Roman" w:hAnsi="Times New Roman" w:eastAsia="方正小标宋简体" w:cs="Times New Roman"/>
          <w:kern w:val="0"/>
          <w:sz w:val="32"/>
          <w:szCs w:val="28"/>
          <w:highlight w:val="none"/>
        </w:rPr>
        <w:sectPr>
          <w:pgSz w:w="11906" w:h="16838"/>
          <w:pgMar w:top="2098" w:right="1474" w:bottom="1984" w:left="1587" w:header="851" w:footer="992" w:gutter="0"/>
          <w:cols w:space="425" w:num="1"/>
          <w:docGrid w:type="lines" w:linePitch="312" w:charSpace="0"/>
        </w:sectPr>
      </w:pPr>
    </w:p>
    <w:p w14:paraId="293B0082">
      <w:pPr>
        <w:spacing w:line="560" w:lineRule="exact"/>
        <w:jc w:val="center"/>
        <w:rPr>
          <w:rFonts w:ascii="Times New Roman" w:hAnsi="Times New Roman" w:eastAsia="方正小标宋简体" w:cs="Times New Roman"/>
          <w:kern w:val="0"/>
          <w:sz w:val="32"/>
          <w:szCs w:val="28"/>
          <w:highlight w:val="none"/>
        </w:rPr>
      </w:pPr>
      <w:r>
        <w:rPr>
          <w:rFonts w:hint="eastAsia" w:ascii="Times New Roman" w:hAnsi="Times New Roman" w:eastAsia="方正小标宋简体" w:cs="Times New Roman"/>
          <w:kern w:val="0"/>
          <w:sz w:val="32"/>
          <w:szCs w:val="28"/>
          <w:highlight w:val="none"/>
        </w:rPr>
        <w:t>西安电子科技</w:t>
      </w:r>
      <w:r>
        <w:rPr>
          <w:rFonts w:ascii="Times New Roman" w:hAnsi="Times New Roman" w:eastAsia="方正小标宋简体" w:cs="Times New Roman"/>
          <w:kern w:val="0"/>
          <w:sz w:val="32"/>
          <w:szCs w:val="28"/>
          <w:highlight w:val="none"/>
        </w:rPr>
        <w:t>大学-</w:t>
      </w:r>
      <w:r>
        <w:rPr>
          <w:rFonts w:hint="eastAsia" w:ascii="Times New Roman" w:hAnsi="Times New Roman" w:eastAsia="方正小标宋简体" w:cs="Times New Roman"/>
          <w:kern w:val="0"/>
          <w:sz w:val="32"/>
          <w:szCs w:val="28"/>
          <w:highlight w:val="none"/>
          <w:lang w:eastAsia="zh-CN"/>
        </w:rPr>
        <w:t>乾元国家实验室</w:t>
      </w:r>
      <w:r>
        <w:rPr>
          <w:rFonts w:ascii="Times New Roman" w:hAnsi="Times New Roman" w:eastAsia="方正小标宋简体" w:cs="Times New Roman"/>
          <w:kern w:val="0"/>
          <w:sz w:val="32"/>
          <w:szCs w:val="28"/>
          <w:highlight w:val="none"/>
        </w:rPr>
        <w:t>联合培养博士专项计划</w:t>
      </w:r>
    </w:p>
    <w:p w14:paraId="15D87DA3">
      <w:pPr>
        <w:spacing w:line="560" w:lineRule="exact"/>
        <w:jc w:val="center"/>
        <w:rPr>
          <w:rFonts w:ascii="Times New Roman" w:hAnsi="Times New Roman" w:eastAsia="方正小标宋简体" w:cs="Times New Roman"/>
          <w:kern w:val="0"/>
          <w:sz w:val="32"/>
          <w:szCs w:val="28"/>
          <w:highlight w:val="none"/>
        </w:rPr>
      </w:pPr>
      <w:r>
        <w:rPr>
          <w:rFonts w:hint="eastAsia" w:ascii="Times New Roman" w:hAnsi="Times New Roman" w:eastAsia="方正小标宋简体" w:cs="Times New Roman"/>
          <w:kern w:val="0"/>
          <w:sz w:val="32"/>
          <w:szCs w:val="28"/>
          <w:highlight w:val="none"/>
          <w:lang w:eastAsia="zh-CN"/>
        </w:rPr>
        <w:t>2025年</w:t>
      </w:r>
      <w:r>
        <w:rPr>
          <w:rFonts w:hint="eastAsia" w:ascii="Times New Roman" w:hAnsi="Times New Roman" w:eastAsia="方正小标宋简体" w:cs="Times New Roman"/>
          <w:kern w:val="0"/>
          <w:sz w:val="32"/>
          <w:szCs w:val="28"/>
          <w:highlight w:val="none"/>
        </w:rPr>
        <w:t>招生导师名单</w:t>
      </w:r>
    </w:p>
    <w:tbl>
      <w:tblPr>
        <w:tblStyle w:val="3"/>
        <w:tblW w:w="8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2"/>
        <w:gridCol w:w="2249"/>
        <w:gridCol w:w="2145"/>
        <w:gridCol w:w="2145"/>
      </w:tblGrid>
      <w:tr w14:paraId="0963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752" w:type="dxa"/>
            <w:tcBorders>
              <w:tl2br w:val="nil"/>
              <w:tr2bl w:val="nil"/>
            </w:tcBorders>
            <w:vAlign w:val="center"/>
          </w:tcPr>
          <w:p w14:paraId="162FEE07">
            <w:pPr>
              <w:widowControl/>
              <w:jc w:val="center"/>
              <w:textAlignment w:val="center"/>
              <w:rPr>
                <w:rFonts w:ascii="Times New Roman" w:hAnsi="Times New Roman" w:eastAsia="方正小标宋简体" w:cs="Times New Roman"/>
                <w:kern w:val="0"/>
                <w:sz w:val="24"/>
                <w:highlight w:val="none"/>
              </w:rPr>
            </w:pPr>
            <w:r>
              <w:rPr>
                <w:rFonts w:hint="eastAsia" w:ascii="Times New Roman" w:hAnsi="Times New Roman" w:eastAsia="方正小标宋简体" w:cs="Times New Roman"/>
                <w:kern w:val="0"/>
                <w:sz w:val="24"/>
                <w:highlight w:val="none"/>
              </w:rPr>
              <w:t>招生学位类别</w:t>
            </w:r>
          </w:p>
        </w:tc>
        <w:tc>
          <w:tcPr>
            <w:tcW w:w="2249" w:type="dxa"/>
            <w:tcBorders>
              <w:tl2br w:val="nil"/>
              <w:tr2bl w:val="nil"/>
            </w:tcBorders>
            <w:vAlign w:val="center"/>
          </w:tcPr>
          <w:p w14:paraId="403F6908">
            <w:pPr>
              <w:widowControl/>
              <w:jc w:val="center"/>
              <w:textAlignment w:val="center"/>
              <w:rPr>
                <w:rFonts w:ascii="Times New Roman" w:hAnsi="Times New Roman" w:eastAsia="方正小标宋简体" w:cs="Times New Roman"/>
                <w:kern w:val="0"/>
                <w:sz w:val="24"/>
                <w:highlight w:val="none"/>
              </w:rPr>
            </w:pPr>
            <w:r>
              <w:rPr>
                <w:rFonts w:hint="eastAsia" w:ascii="Times New Roman" w:hAnsi="Times New Roman" w:eastAsia="方正小标宋简体" w:cs="Times New Roman"/>
                <w:kern w:val="0"/>
                <w:sz w:val="24"/>
                <w:highlight w:val="none"/>
              </w:rPr>
              <w:t>招生学院</w:t>
            </w:r>
          </w:p>
        </w:tc>
        <w:tc>
          <w:tcPr>
            <w:tcW w:w="2145" w:type="dxa"/>
            <w:tcBorders>
              <w:tl2br w:val="nil"/>
              <w:tr2bl w:val="nil"/>
            </w:tcBorders>
            <w:vAlign w:val="center"/>
          </w:tcPr>
          <w:p w14:paraId="5E4E25EF">
            <w:pPr>
              <w:widowControl/>
              <w:jc w:val="center"/>
              <w:textAlignment w:val="center"/>
              <w:rPr>
                <w:rFonts w:ascii="Times New Roman" w:hAnsi="Times New Roman" w:eastAsia="方正小标宋简体" w:cs="Times New Roman"/>
                <w:kern w:val="0"/>
                <w:sz w:val="24"/>
                <w:highlight w:val="none"/>
              </w:rPr>
            </w:pPr>
            <w:r>
              <w:rPr>
                <w:rFonts w:hint="eastAsia" w:ascii="Times New Roman" w:hAnsi="Times New Roman" w:eastAsia="方正小标宋简体" w:cs="Times New Roman"/>
                <w:kern w:val="0"/>
                <w:sz w:val="24"/>
                <w:highlight w:val="none"/>
              </w:rPr>
              <w:t>招生专业</w:t>
            </w:r>
          </w:p>
        </w:tc>
        <w:tc>
          <w:tcPr>
            <w:tcW w:w="2145" w:type="dxa"/>
            <w:tcBorders>
              <w:tl2br w:val="nil"/>
              <w:tr2bl w:val="nil"/>
            </w:tcBorders>
            <w:vAlign w:val="center"/>
          </w:tcPr>
          <w:p w14:paraId="09D81E9B">
            <w:pPr>
              <w:widowControl/>
              <w:jc w:val="center"/>
              <w:textAlignment w:val="center"/>
              <w:rPr>
                <w:rFonts w:ascii="Times New Roman" w:hAnsi="Times New Roman" w:eastAsia="方正小标宋简体" w:cs="Times New Roman"/>
                <w:kern w:val="0"/>
                <w:sz w:val="24"/>
                <w:highlight w:val="none"/>
              </w:rPr>
            </w:pPr>
            <w:r>
              <w:rPr>
                <w:rFonts w:hint="eastAsia" w:ascii="Times New Roman" w:hAnsi="Times New Roman" w:eastAsia="方正小标宋简体" w:cs="Times New Roman"/>
                <w:kern w:val="0"/>
                <w:sz w:val="24"/>
                <w:highlight w:val="none"/>
              </w:rPr>
              <w:t>招生导师</w:t>
            </w:r>
          </w:p>
        </w:tc>
      </w:tr>
      <w:tr w14:paraId="79D9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752" w:type="dxa"/>
            <w:vMerge w:val="restart"/>
            <w:tcBorders>
              <w:tl2br w:val="nil"/>
              <w:tr2bl w:val="nil"/>
            </w:tcBorders>
            <w:vAlign w:val="center"/>
          </w:tcPr>
          <w:p w14:paraId="7012AFE8">
            <w:pPr>
              <w:widowControl/>
              <w:jc w:val="center"/>
              <w:textAlignment w:val="center"/>
              <w:rPr>
                <w:rFonts w:ascii="仿宋_GB2312" w:hAnsi="仿宋_GB2312" w:eastAsia="仿宋_GB2312" w:cs="仿宋_GB2312"/>
                <w:color w:val="000000"/>
                <w:kern w:val="0"/>
                <w:sz w:val="22"/>
                <w:highlight w:val="none"/>
                <w:lang w:bidi="ar"/>
              </w:rPr>
            </w:pPr>
            <w:r>
              <w:rPr>
                <w:rFonts w:hint="eastAsia" w:ascii="仿宋_GB2312" w:hAnsi="仿宋_GB2312" w:eastAsia="仿宋_GB2312" w:cs="仿宋_GB2312"/>
                <w:color w:val="000000"/>
                <w:kern w:val="0"/>
                <w:sz w:val="22"/>
                <w:highlight w:val="none"/>
                <w:lang w:bidi="ar"/>
              </w:rPr>
              <w:t>学术</w:t>
            </w:r>
            <w:r>
              <w:rPr>
                <w:rFonts w:hint="eastAsia" w:ascii="仿宋_GB2312" w:hAnsi="仿宋_GB2312" w:eastAsia="仿宋_GB2312" w:cs="仿宋_GB2312"/>
                <w:color w:val="000000"/>
                <w:kern w:val="0"/>
                <w:sz w:val="22"/>
                <w:highlight w:val="none"/>
                <w:lang w:val="en-US" w:eastAsia="zh-CN" w:bidi="ar"/>
              </w:rPr>
              <w:t>学位/专业学位</w:t>
            </w:r>
            <w:r>
              <w:rPr>
                <w:rFonts w:hint="eastAsia" w:ascii="仿宋_GB2312" w:hAnsi="仿宋_GB2312" w:eastAsia="仿宋_GB2312" w:cs="仿宋_GB2312"/>
                <w:color w:val="000000"/>
                <w:kern w:val="0"/>
                <w:sz w:val="22"/>
                <w:highlight w:val="none"/>
                <w:lang w:bidi="ar"/>
              </w:rPr>
              <w:t>博士</w:t>
            </w:r>
          </w:p>
        </w:tc>
        <w:tc>
          <w:tcPr>
            <w:tcW w:w="2249" w:type="dxa"/>
            <w:tcBorders>
              <w:tl2br w:val="nil"/>
              <w:tr2bl w:val="nil"/>
            </w:tcBorders>
            <w:vAlign w:val="center"/>
          </w:tcPr>
          <w:p w14:paraId="635AA778">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电子工程学院</w:t>
            </w:r>
          </w:p>
        </w:tc>
        <w:tc>
          <w:tcPr>
            <w:tcW w:w="2145" w:type="dxa"/>
            <w:tcBorders>
              <w:tl2br w:val="nil"/>
              <w:tr2bl w:val="nil"/>
            </w:tcBorders>
            <w:vAlign w:val="center"/>
          </w:tcPr>
          <w:p w14:paraId="0D46E0AE">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电子信息</w:t>
            </w:r>
          </w:p>
        </w:tc>
        <w:tc>
          <w:tcPr>
            <w:tcW w:w="2145" w:type="dxa"/>
            <w:tcBorders>
              <w:tl2br w:val="nil"/>
              <w:tr2bl w:val="nil"/>
            </w:tcBorders>
            <w:vAlign w:val="center"/>
          </w:tcPr>
          <w:p w14:paraId="22331D4E">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highlight w:val="none"/>
                <w:lang w:val="en-US" w:eastAsia="zh-CN" w:bidi="ar"/>
              </w:rPr>
            </w:pPr>
            <w:r>
              <w:rPr>
                <w:rFonts w:hint="eastAsia" w:ascii="方正仿宋_GB2312" w:hAnsi="方正仿宋_GB2312" w:eastAsia="方正仿宋_GB2312" w:cs="方正仿宋_GB2312"/>
                <w:i w:val="0"/>
                <w:iCs w:val="0"/>
                <w:color w:val="000000"/>
                <w:kern w:val="0"/>
                <w:sz w:val="24"/>
                <w:szCs w:val="24"/>
                <w:u w:val="none"/>
                <w:lang w:val="en-US" w:eastAsia="zh-CN" w:bidi="ar"/>
              </w:rPr>
              <w:t>王兴</w:t>
            </w:r>
          </w:p>
        </w:tc>
      </w:tr>
      <w:tr w14:paraId="5573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752" w:type="dxa"/>
            <w:vMerge w:val="continue"/>
            <w:tcBorders>
              <w:tl2br w:val="nil"/>
              <w:tr2bl w:val="nil"/>
            </w:tcBorders>
            <w:vAlign w:val="center"/>
          </w:tcPr>
          <w:p w14:paraId="64FF9AD4">
            <w:pPr>
              <w:widowControl/>
              <w:jc w:val="center"/>
              <w:textAlignment w:val="center"/>
              <w:rPr>
                <w:rFonts w:ascii="仿宋_GB2312" w:hAnsi="仿宋_GB2312" w:eastAsia="仿宋_GB2312" w:cs="仿宋_GB2312"/>
                <w:color w:val="000000"/>
                <w:kern w:val="0"/>
                <w:sz w:val="22"/>
                <w:highlight w:val="none"/>
                <w:lang w:bidi="ar"/>
              </w:rPr>
            </w:pPr>
          </w:p>
        </w:tc>
        <w:tc>
          <w:tcPr>
            <w:tcW w:w="2249" w:type="dxa"/>
            <w:tcBorders>
              <w:tl2br w:val="nil"/>
              <w:tr2bl w:val="nil"/>
            </w:tcBorders>
            <w:vAlign w:val="center"/>
          </w:tcPr>
          <w:p w14:paraId="5ADC6E3D">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电子工程学院</w:t>
            </w:r>
          </w:p>
        </w:tc>
        <w:tc>
          <w:tcPr>
            <w:tcW w:w="2145" w:type="dxa"/>
            <w:tcBorders>
              <w:tl2br w:val="nil"/>
              <w:tr2bl w:val="nil"/>
            </w:tcBorders>
            <w:vAlign w:val="center"/>
          </w:tcPr>
          <w:p w14:paraId="07277363">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信息与通信工程</w:t>
            </w:r>
          </w:p>
        </w:tc>
        <w:tc>
          <w:tcPr>
            <w:tcW w:w="2145" w:type="dxa"/>
            <w:tcBorders>
              <w:tl2br w:val="nil"/>
              <w:tr2bl w:val="nil"/>
            </w:tcBorders>
            <w:vAlign w:val="center"/>
          </w:tcPr>
          <w:p w14:paraId="464BF0F6">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highlight w:val="none"/>
                <w:lang w:val="en-US" w:eastAsia="zh-CN" w:bidi="ar"/>
              </w:rPr>
            </w:pPr>
            <w:r>
              <w:rPr>
                <w:rFonts w:hint="eastAsia" w:ascii="方正仿宋_GB2312" w:hAnsi="方正仿宋_GB2312" w:eastAsia="方正仿宋_GB2312" w:cs="方正仿宋_GB2312"/>
                <w:i w:val="0"/>
                <w:iCs w:val="0"/>
                <w:color w:val="000000"/>
                <w:kern w:val="0"/>
                <w:sz w:val="24"/>
                <w:szCs w:val="24"/>
                <w:u w:val="none"/>
                <w:lang w:val="en-US" w:eastAsia="zh-CN" w:bidi="ar"/>
              </w:rPr>
              <w:t>严俊坤</w:t>
            </w:r>
          </w:p>
        </w:tc>
      </w:tr>
      <w:tr w14:paraId="24DC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752" w:type="dxa"/>
            <w:vMerge w:val="continue"/>
            <w:tcBorders>
              <w:tl2br w:val="nil"/>
              <w:tr2bl w:val="nil"/>
            </w:tcBorders>
            <w:vAlign w:val="center"/>
          </w:tcPr>
          <w:p w14:paraId="02EDAA2E">
            <w:pPr>
              <w:widowControl/>
              <w:jc w:val="center"/>
              <w:textAlignment w:val="center"/>
              <w:rPr>
                <w:rFonts w:ascii="仿宋_GB2312" w:hAnsi="仿宋_GB2312" w:eastAsia="仿宋_GB2312" w:cs="仿宋_GB2312"/>
                <w:color w:val="000000"/>
                <w:kern w:val="0"/>
                <w:sz w:val="22"/>
                <w:highlight w:val="none"/>
                <w:lang w:bidi="ar"/>
              </w:rPr>
            </w:pPr>
          </w:p>
        </w:tc>
        <w:tc>
          <w:tcPr>
            <w:tcW w:w="2249" w:type="dxa"/>
            <w:tcBorders>
              <w:tl2br w:val="nil"/>
              <w:tr2bl w:val="nil"/>
            </w:tcBorders>
            <w:vAlign w:val="center"/>
          </w:tcPr>
          <w:p w14:paraId="4645DB67">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通信工程学院</w:t>
            </w:r>
          </w:p>
        </w:tc>
        <w:tc>
          <w:tcPr>
            <w:tcW w:w="2145" w:type="dxa"/>
            <w:tcBorders>
              <w:tl2br w:val="nil"/>
              <w:tr2bl w:val="nil"/>
            </w:tcBorders>
            <w:vAlign w:val="center"/>
          </w:tcPr>
          <w:p w14:paraId="6177779F">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信息与通信工程</w:t>
            </w:r>
          </w:p>
        </w:tc>
        <w:tc>
          <w:tcPr>
            <w:tcW w:w="2145" w:type="dxa"/>
            <w:tcBorders>
              <w:tl2br w:val="nil"/>
              <w:tr2bl w:val="nil"/>
            </w:tcBorders>
            <w:vAlign w:val="center"/>
          </w:tcPr>
          <w:p w14:paraId="6B48692B">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highlight w:val="none"/>
                <w:lang w:val="en-US" w:eastAsia="zh-CN" w:bidi="ar"/>
              </w:rPr>
            </w:pPr>
            <w:r>
              <w:rPr>
                <w:rFonts w:hint="eastAsia" w:ascii="方正仿宋_GB2312" w:hAnsi="方正仿宋_GB2312" w:eastAsia="方正仿宋_GB2312" w:cs="方正仿宋_GB2312"/>
                <w:i w:val="0"/>
                <w:iCs w:val="0"/>
                <w:color w:val="000000"/>
                <w:kern w:val="0"/>
                <w:sz w:val="24"/>
                <w:szCs w:val="24"/>
                <w:u w:val="none"/>
                <w:lang w:val="en-US" w:eastAsia="zh-CN" w:bidi="ar"/>
              </w:rPr>
              <w:t>王丹洋</w:t>
            </w:r>
          </w:p>
        </w:tc>
      </w:tr>
      <w:tr w14:paraId="2B2E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752" w:type="dxa"/>
            <w:vMerge w:val="continue"/>
            <w:tcBorders>
              <w:tl2br w:val="nil"/>
              <w:tr2bl w:val="nil"/>
            </w:tcBorders>
            <w:vAlign w:val="center"/>
          </w:tcPr>
          <w:p w14:paraId="5A5BD455">
            <w:pPr>
              <w:widowControl/>
              <w:jc w:val="center"/>
              <w:textAlignment w:val="center"/>
              <w:rPr>
                <w:rFonts w:ascii="仿宋_GB2312" w:hAnsi="仿宋_GB2312" w:eastAsia="仿宋_GB2312" w:cs="仿宋_GB2312"/>
                <w:color w:val="000000"/>
                <w:kern w:val="0"/>
                <w:sz w:val="22"/>
                <w:highlight w:val="none"/>
                <w:lang w:bidi="ar"/>
              </w:rPr>
            </w:pPr>
          </w:p>
        </w:tc>
        <w:tc>
          <w:tcPr>
            <w:tcW w:w="2249" w:type="dxa"/>
            <w:tcBorders>
              <w:tl2br w:val="nil"/>
              <w:tr2bl w:val="nil"/>
            </w:tcBorders>
            <w:vAlign w:val="center"/>
          </w:tcPr>
          <w:p w14:paraId="5DED5A01">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通信工程学院</w:t>
            </w:r>
          </w:p>
        </w:tc>
        <w:tc>
          <w:tcPr>
            <w:tcW w:w="2145" w:type="dxa"/>
            <w:tcBorders>
              <w:tl2br w:val="nil"/>
              <w:tr2bl w:val="nil"/>
            </w:tcBorders>
            <w:vAlign w:val="center"/>
          </w:tcPr>
          <w:p w14:paraId="767F8C45">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电子信息</w:t>
            </w:r>
          </w:p>
        </w:tc>
        <w:tc>
          <w:tcPr>
            <w:tcW w:w="2145" w:type="dxa"/>
            <w:tcBorders>
              <w:tl2br w:val="nil"/>
              <w:tr2bl w:val="nil"/>
            </w:tcBorders>
            <w:vAlign w:val="center"/>
          </w:tcPr>
          <w:p w14:paraId="45A9A9B7">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highlight w:val="none"/>
                <w:lang w:val="en-US" w:eastAsia="zh-CN" w:bidi="ar"/>
              </w:rPr>
            </w:pPr>
            <w:r>
              <w:rPr>
                <w:rFonts w:hint="eastAsia" w:ascii="方正仿宋_GB2312" w:hAnsi="方正仿宋_GB2312" w:eastAsia="方正仿宋_GB2312" w:cs="方正仿宋_GB2312"/>
                <w:i w:val="0"/>
                <w:iCs w:val="0"/>
                <w:color w:val="000000"/>
                <w:kern w:val="0"/>
                <w:sz w:val="24"/>
                <w:szCs w:val="24"/>
                <w:u w:val="none"/>
                <w:lang w:val="en-US" w:eastAsia="zh-CN" w:bidi="ar"/>
              </w:rPr>
              <w:t>盛敏</w:t>
            </w:r>
          </w:p>
        </w:tc>
      </w:tr>
      <w:tr w14:paraId="663C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752" w:type="dxa"/>
            <w:vMerge w:val="continue"/>
            <w:tcBorders>
              <w:tl2br w:val="nil"/>
              <w:tr2bl w:val="nil"/>
            </w:tcBorders>
            <w:vAlign w:val="center"/>
          </w:tcPr>
          <w:p w14:paraId="5582A72D">
            <w:pPr>
              <w:widowControl/>
              <w:jc w:val="center"/>
              <w:textAlignment w:val="center"/>
              <w:rPr>
                <w:rFonts w:ascii="仿宋_GB2312" w:hAnsi="仿宋_GB2312" w:eastAsia="仿宋_GB2312" w:cs="仿宋_GB2312"/>
                <w:color w:val="000000"/>
                <w:kern w:val="0"/>
                <w:sz w:val="22"/>
                <w:highlight w:val="none"/>
                <w:lang w:bidi="ar"/>
              </w:rPr>
            </w:pPr>
          </w:p>
        </w:tc>
        <w:tc>
          <w:tcPr>
            <w:tcW w:w="2249" w:type="dxa"/>
            <w:tcBorders>
              <w:tl2br w:val="nil"/>
              <w:tr2bl w:val="nil"/>
            </w:tcBorders>
            <w:vAlign w:val="center"/>
          </w:tcPr>
          <w:p w14:paraId="715A32CB">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集成电路学部</w:t>
            </w:r>
          </w:p>
        </w:tc>
        <w:tc>
          <w:tcPr>
            <w:tcW w:w="2145" w:type="dxa"/>
            <w:tcBorders>
              <w:tl2br w:val="nil"/>
              <w:tr2bl w:val="nil"/>
            </w:tcBorders>
            <w:vAlign w:val="center"/>
          </w:tcPr>
          <w:p w14:paraId="57FAE770">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电子科学与技术</w:t>
            </w:r>
          </w:p>
        </w:tc>
        <w:tc>
          <w:tcPr>
            <w:tcW w:w="2145" w:type="dxa"/>
            <w:tcBorders>
              <w:tl2br w:val="nil"/>
              <w:tr2bl w:val="nil"/>
            </w:tcBorders>
            <w:vAlign w:val="center"/>
          </w:tcPr>
          <w:p w14:paraId="49FEA450">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highlight w:val="none"/>
                <w:lang w:val="en-US" w:eastAsia="zh-CN" w:bidi="ar"/>
              </w:rPr>
            </w:pPr>
            <w:r>
              <w:rPr>
                <w:rFonts w:hint="eastAsia" w:ascii="方正仿宋_GB2312" w:hAnsi="方正仿宋_GB2312" w:eastAsia="方正仿宋_GB2312" w:cs="方正仿宋_GB2312"/>
                <w:i w:val="0"/>
                <w:iCs w:val="0"/>
                <w:color w:val="000000"/>
                <w:kern w:val="0"/>
                <w:sz w:val="24"/>
                <w:szCs w:val="24"/>
                <w:u w:val="none"/>
                <w:lang w:val="en-US" w:eastAsia="zh-CN" w:bidi="ar"/>
              </w:rPr>
              <w:t>张进成</w:t>
            </w:r>
          </w:p>
        </w:tc>
      </w:tr>
      <w:tr w14:paraId="4BDD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752" w:type="dxa"/>
            <w:vMerge w:val="continue"/>
            <w:tcBorders>
              <w:tl2br w:val="nil"/>
              <w:tr2bl w:val="nil"/>
            </w:tcBorders>
            <w:vAlign w:val="center"/>
          </w:tcPr>
          <w:p w14:paraId="363B057F">
            <w:pPr>
              <w:widowControl/>
              <w:jc w:val="center"/>
              <w:textAlignment w:val="center"/>
              <w:rPr>
                <w:rFonts w:ascii="仿宋_GB2312" w:hAnsi="仿宋_GB2312" w:eastAsia="仿宋_GB2312" w:cs="仿宋_GB2312"/>
                <w:color w:val="000000"/>
                <w:kern w:val="0"/>
                <w:sz w:val="22"/>
                <w:highlight w:val="none"/>
                <w:lang w:bidi="ar"/>
              </w:rPr>
            </w:pPr>
          </w:p>
        </w:tc>
        <w:tc>
          <w:tcPr>
            <w:tcW w:w="2249" w:type="dxa"/>
            <w:tcBorders>
              <w:tl2br w:val="nil"/>
              <w:tr2bl w:val="nil"/>
            </w:tcBorders>
            <w:vAlign w:val="center"/>
          </w:tcPr>
          <w:p w14:paraId="7FD08842">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集成电路学部</w:t>
            </w:r>
          </w:p>
        </w:tc>
        <w:tc>
          <w:tcPr>
            <w:tcW w:w="2145" w:type="dxa"/>
            <w:tcBorders>
              <w:tl2br w:val="nil"/>
              <w:tr2bl w:val="nil"/>
            </w:tcBorders>
            <w:vAlign w:val="center"/>
          </w:tcPr>
          <w:p w14:paraId="723BEC85">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电子科学与技术</w:t>
            </w:r>
          </w:p>
        </w:tc>
        <w:tc>
          <w:tcPr>
            <w:tcW w:w="2145" w:type="dxa"/>
            <w:tcBorders>
              <w:tl2br w:val="nil"/>
              <w:tr2bl w:val="nil"/>
            </w:tcBorders>
            <w:vAlign w:val="center"/>
          </w:tcPr>
          <w:p w14:paraId="02235765">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highlight w:val="none"/>
                <w:lang w:val="en-US" w:eastAsia="zh-CN" w:bidi="ar"/>
              </w:rPr>
            </w:pPr>
            <w:r>
              <w:rPr>
                <w:rFonts w:hint="eastAsia" w:ascii="方正仿宋_GB2312" w:hAnsi="方正仿宋_GB2312" w:eastAsia="方正仿宋_GB2312" w:cs="方正仿宋_GB2312"/>
                <w:i w:val="0"/>
                <w:iCs w:val="0"/>
                <w:color w:val="000000"/>
                <w:kern w:val="0"/>
                <w:sz w:val="24"/>
                <w:szCs w:val="24"/>
                <w:u w:val="none"/>
                <w:lang w:val="en-US" w:eastAsia="zh-CN" w:bidi="ar"/>
              </w:rPr>
              <w:t>马晓华</w:t>
            </w:r>
          </w:p>
        </w:tc>
      </w:tr>
      <w:tr w14:paraId="2908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752" w:type="dxa"/>
            <w:vMerge w:val="continue"/>
            <w:tcBorders>
              <w:tl2br w:val="nil"/>
              <w:tr2bl w:val="nil"/>
            </w:tcBorders>
            <w:vAlign w:val="center"/>
          </w:tcPr>
          <w:p w14:paraId="643DE2FA">
            <w:pPr>
              <w:widowControl/>
              <w:jc w:val="center"/>
              <w:textAlignment w:val="center"/>
              <w:rPr>
                <w:rFonts w:ascii="仿宋_GB2312" w:hAnsi="仿宋_GB2312" w:eastAsia="仿宋_GB2312" w:cs="仿宋_GB2312"/>
                <w:color w:val="000000"/>
                <w:kern w:val="0"/>
                <w:sz w:val="22"/>
                <w:highlight w:val="none"/>
                <w:lang w:bidi="ar"/>
              </w:rPr>
            </w:pPr>
          </w:p>
        </w:tc>
        <w:tc>
          <w:tcPr>
            <w:tcW w:w="2249" w:type="dxa"/>
            <w:tcBorders>
              <w:tl2br w:val="nil"/>
              <w:tr2bl w:val="nil"/>
            </w:tcBorders>
            <w:vAlign w:val="center"/>
          </w:tcPr>
          <w:p w14:paraId="46CA6DC1">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电子工程学院</w:t>
            </w:r>
          </w:p>
        </w:tc>
        <w:tc>
          <w:tcPr>
            <w:tcW w:w="2145" w:type="dxa"/>
            <w:tcBorders>
              <w:tl2br w:val="nil"/>
              <w:tr2bl w:val="nil"/>
            </w:tcBorders>
            <w:vAlign w:val="center"/>
          </w:tcPr>
          <w:p w14:paraId="0BF0A46B">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电子科学与技术</w:t>
            </w:r>
          </w:p>
        </w:tc>
        <w:tc>
          <w:tcPr>
            <w:tcW w:w="2145" w:type="dxa"/>
            <w:tcBorders>
              <w:tl2br w:val="nil"/>
              <w:tr2bl w:val="nil"/>
            </w:tcBorders>
            <w:vAlign w:val="center"/>
          </w:tcPr>
          <w:p w14:paraId="31CBF5F4">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highlight w:val="none"/>
                <w:lang w:val="en-US" w:eastAsia="zh-CN" w:bidi="ar"/>
              </w:rPr>
            </w:pPr>
            <w:r>
              <w:rPr>
                <w:rFonts w:hint="eastAsia" w:ascii="方正仿宋_GB2312" w:hAnsi="方正仿宋_GB2312" w:eastAsia="方正仿宋_GB2312" w:cs="方正仿宋_GB2312"/>
                <w:i w:val="0"/>
                <w:iCs w:val="0"/>
                <w:color w:val="000000"/>
                <w:kern w:val="0"/>
                <w:sz w:val="24"/>
                <w:szCs w:val="24"/>
                <w:u w:val="none"/>
                <w:lang w:val="en-US" w:eastAsia="zh-CN" w:bidi="ar"/>
              </w:rPr>
              <w:t>蒋俊正</w:t>
            </w:r>
          </w:p>
        </w:tc>
      </w:tr>
      <w:tr w14:paraId="0E3A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752" w:type="dxa"/>
            <w:vMerge w:val="continue"/>
            <w:tcBorders>
              <w:tl2br w:val="nil"/>
              <w:tr2bl w:val="nil"/>
            </w:tcBorders>
            <w:vAlign w:val="center"/>
          </w:tcPr>
          <w:p w14:paraId="300337FC">
            <w:pPr>
              <w:widowControl/>
              <w:jc w:val="center"/>
              <w:textAlignment w:val="center"/>
              <w:rPr>
                <w:rFonts w:ascii="仿宋_GB2312" w:hAnsi="仿宋_GB2312" w:eastAsia="仿宋_GB2312" w:cs="仿宋_GB2312"/>
                <w:color w:val="000000"/>
                <w:kern w:val="0"/>
                <w:sz w:val="22"/>
                <w:highlight w:val="none"/>
                <w:lang w:bidi="ar"/>
              </w:rPr>
            </w:pPr>
          </w:p>
        </w:tc>
        <w:tc>
          <w:tcPr>
            <w:tcW w:w="2249" w:type="dxa"/>
            <w:tcBorders>
              <w:tl2br w:val="nil"/>
              <w:tr2bl w:val="nil"/>
            </w:tcBorders>
            <w:vAlign w:val="center"/>
          </w:tcPr>
          <w:p w14:paraId="74F2B8B1">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电子工程学院</w:t>
            </w:r>
          </w:p>
        </w:tc>
        <w:tc>
          <w:tcPr>
            <w:tcW w:w="2145" w:type="dxa"/>
            <w:tcBorders>
              <w:tl2br w:val="nil"/>
              <w:tr2bl w:val="nil"/>
            </w:tcBorders>
            <w:vAlign w:val="center"/>
          </w:tcPr>
          <w:p w14:paraId="558EE25B">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信息与通信工程</w:t>
            </w:r>
          </w:p>
        </w:tc>
        <w:tc>
          <w:tcPr>
            <w:tcW w:w="2145" w:type="dxa"/>
            <w:tcBorders>
              <w:tl2br w:val="nil"/>
              <w:tr2bl w:val="nil"/>
            </w:tcBorders>
            <w:vAlign w:val="center"/>
          </w:tcPr>
          <w:p w14:paraId="75EC5515">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highlight w:val="none"/>
                <w:lang w:val="en-US" w:eastAsia="zh-CN" w:bidi="ar"/>
              </w:rPr>
            </w:pPr>
            <w:r>
              <w:rPr>
                <w:rFonts w:hint="eastAsia" w:ascii="方正仿宋_GB2312" w:hAnsi="方正仿宋_GB2312" w:eastAsia="方正仿宋_GB2312" w:cs="方正仿宋_GB2312"/>
                <w:i w:val="0"/>
                <w:iCs w:val="0"/>
                <w:color w:val="000000"/>
                <w:kern w:val="0"/>
                <w:sz w:val="24"/>
                <w:szCs w:val="24"/>
                <w:u w:val="none"/>
                <w:lang w:val="en-US" w:eastAsia="zh-CN" w:bidi="ar"/>
              </w:rPr>
              <w:t>李亚超</w:t>
            </w:r>
          </w:p>
        </w:tc>
      </w:tr>
      <w:tr w14:paraId="5D51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752" w:type="dxa"/>
            <w:vMerge w:val="continue"/>
            <w:tcBorders>
              <w:tl2br w:val="nil"/>
              <w:tr2bl w:val="nil"/>
            </w:tcBorders>
            <w:vAlign w:val="center"/>
          </w:tcPr>
          <w:p w14:paraId="0900CEBA">
            <w:pPr>
              <w:widowControl/>
              <w:jc w:val="center"/>
              <w:textAlignment w:val="center"/>
              <w:rPr>
                <w:rFonts w:ascii="仿宋_GB2312" w:hAnsi="仿宋_GB2312" w:eastAsia="仿宋_GB2312" w:cs="仿宋_GB2312"/>
                <w:color w:val="000000"/>
                <w:kern w:val="0"/>
                <w:sz w:val="22"/>
                <w:highlight w:val="none"/>
                <w:lang w:bidi="ar"/>
              </w:rPr>
            </w:pPr>
          </w:p>
        </w:tc>
        <w:tc>
          <w:tcPr>
            <w:tcW w:w="2249" w:type="dxa"/>
            <w:tcBorders>
              <w:tl2br w:val="nil"/>
              <w:tr2bl w:val="nil"/>
            </w:tcBorders>
            <w:vAlign w:val="center"/>
          </w:tcPr>
          <w:p w14:paraId="241B7869">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电子工程学院</w:t>
            </w:r>
          </w:p>
        </w:tc>
        <w:tc>
          <w:tcPr>
            <w:tcW w:w="2145" w:type="dxa"/>
            <w:tcBorders>
              <w:tl2br w:val="nil"/>
              <w:tr2bl w:val="nil"/>
            </w:tcBorders>
            <w:vAlign w:val="center"/>
          </w:tcPr>
          <w:p w14:paraId="39A7470F">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信息与通信工程</w:t>
            </w:r>
          </w:p>
        </w:tc>
        <w:tc>
          <w:tcPr>
            <w:tcW w:w="2145" w:type="dxa"/>
            <w:tcBorders>
              <w:tl2br w:val="nil"/>
              <w:tr2bl w:val="nil"/>
            </w:tcBorders>
            <w:vAlign w:val="center"/>
          </w:tcPr>
          <w:p w14:paraId="2689B527">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highlight w:val="none"/>
                <w:lang w:val="en-US" w:eastAsia="zh-CN" w:bidi="ar"/>
              </w:rPr>
            </w:pPr>
            <w:r>
              <w:rPr>
                <w:rFonts w:hint="eastAsia" w:ascii="方正仿宋_GB2312" w:hAnsi="方正仿宋_GB2312" w:eastAsia="方正仿宋_GB2312" w:cs="方正仿宋_GB2312"/>
                <w:i w:val="0"/>
                <w:iCs w:val="0"/>
                <w:color w:val="000000"/>
                <w:kern w:val="0"/>
                <w:sz w:val="24"/>
                <w:szCs w:val="24"/>
                <w:u w:val="none"/>
                <w:lang w:val="en-US" w:eastAsia="zh-CN" w:bidi="ar"/>
              </w:rPr>
              <w:t>刘宏伟</w:t>
            </w:r>
          </w:p>
        </w:tc>
      </w:tr>
      <w:tr w14:paraId="2410B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752" w:type="dxa"/>
            <w:vMerge w:val="continue"/>
            <w:tcBorders>
              <w:tl2br w:val="nil"/>
              <w:tr2bl w:val="nil"/>
            </w:tcBorders>
            <w:vAlign w:val="center"/>
          </w:tcPr>
          <w:p w14:paraId="66874B20">
            <w:pPr>
              <w:widowControl/>
              <w:jc w:val="center"/>
              <w:textAlignment w:val="center"/>
              <w:rPr>
                <w:rFonts w:ascii="仿宋_GB2312" w:hAnsi="仿宋_GB2312" w:eastAsia="仿宋_GB2312" w:cs="仿宋_GB2312"/>
                <w:color w:val="000000"/>
                <w:kern w:val="0"/>
                <w:sz w:val="22"/>
                <w:highlight w:val="none"/>
                <w:lang w:bidi="ar"/>
              </w:rPr>
            </w:pPr>
          </w:p>
        </w:tc>
        <w:tc>
          <w:tcPr>
            <w:tcW w:w="2249" w:type="dxa"/>
            <w:tcBorders>
              <w:tl2br w:val="nil"/>
              <w:tr2bl w:val="nil"/>
            </w:tcBorders>
            <w:vAlign w:val="center"/>
          </w:tcPr>
          <w:p w14:paraId="1A90A65F">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通信工程学院</w:t>
            </w:r>
          </w:p>
        </w:tc>
        <w:tc>
          <w:tcPr>
            <w:tcW w:w="2145" w:type="dxa"/>
            <w:tcBorders>
              <w:tl2br w:val="nil"/>
              <w:tr2bl w:val="nil"/>
            </w:tcBorders>
            <w:vAlign w:val="center"/>
          </w:tcPr>
          <w:p w14:paraId="50449E3F">
            <w:pPr>
              <w:keepNext w:val="0"/>
              <w:keepLines w:val="0"/>
              <w:widowControl/>
              <w:suppressLineNumbers w:val="0"/>
              <w:jc w:val="center"/>
              <w:textAlignment w:val="center"/>
              <w:rPr>
                <w:rFonts w:hint="eastAsia" w:ascii="仿宋_GB2312" w:hAnsi="仿宋_GB2312" w:eastAsia="仿宋_GB2312" w:cs="仿宋_GB2312"/>
                <w:color w:val="000000"/>
                <w:kern w:val="0"/>
                <w:sz w:val="22"/>
                <w:szCs w:val="22"/>
                <w:highlight w:val="none"/>
                <w:lang w:val="en-US" w:eastAsia="zh-CN" w:bidi="ar"/>
              </w:rPr>
            </w:pPr>
            <w:r>
              <w:rPr>
                <w:rFonts w:hint="eastAsia" w:ascii="仿宋_GB2312" w:hAnsi="仿宋_GB2312" w:eastAsia="仿宋_GB2312" w:cs="仿宋_GB2312"/>
                <w:color w:val="000000"/>
                <w:kern w:val="0"/>
                <w:sz w:val="22"/>
                <w:szCs w:val="22"/>
                <w:highlight w:val="none"/>
                <w:lang w:val="en-US" w:eastAsia="zh-CN" w:bidi="ar"/>
              </w:rPr>
              <w:t>电子信息</w:t>
            </w:r>
          </w:p>
        </w:tc>
        <w:tc>
          <w:tcPr>
            <w:tcW w:w="2145" w:type="dxa"/>
            <w:tcBorders>
              <w:tl2br w:val="nil"/>
              <w:tr2bl w:val="nil"/>
            </w:tcBorders>
            <w:vAlign w:val="center"/>
          </w:tcPr>
          <w:p w14:paraId="44798446">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highlight w:val="none"/>
                <w:lang w:val="en-US" w:eastAsia="zh-CN" w:bidi="ar"/>
              </w:rPr>
            </w:pPr>
            <w:r>
              <w:rPr>
                <w:rFonts w:hint="eastAsia" w:ascii="方正仿宋_GB2312" w:hAnsi="方正仿宋_GB2312" w:eastAsia="方正仿宋_GB2312" w:cs="方正仿宋_GB2312"/>
                <w:i w:val="0"/>
                <w:iCs w:val="0"/>
                <w:color w:val="000000"/>
                <w:kern w:val="0"/>
                <w:sz w:val="24"/>
                <w:szCs w:val="24"/>
                <w:u w:val="none"/>
                <w:lang w:val="en-US" w:eastAsia="zh-CN" w:bidi="ar"/>
              </w:rPr>
              <w:t>吴宪云</w:t>
            </w:r>
          </w:p>
        </w:tc>
      </w:tr>
    </w:tbl>
    <w:p w14:paraId="1793B064">
      <w:pPr>
        <w:jc w:val="center"/>
        <w:rPr>
          <w:rFonts w:ascii="方正小标宋简体" w:hAnsi="方正小标宋简体" w:eastAsia="方正小标宋简体" w:cs="方正小标宋简体"/>
          <w:sz w:val="44"/>
          <w:szCs w:val="44"/>
          <w:highlight w:val="none"/>
        </w:rPr>
      </w:pPr>
    </w:p>
    <w:p w14:paraId="313035B9">
      <w:pPr>
        <w:rPr>
          <w:highlight w:val="none"/>
        </w:rPr>
      </w:pPr>
    </w:p>
    <w:sectPr>
      <w:pgSz w:w="11906" w:h="16838"/>
      <w:pgMar w:top="1984" w:right="1474" w:bottom="170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embedRegular r:id="rId1" w:fontKey="{293C68E2-3608-495B-A0E8-019923F8BC28}"/>
  </w:font>
  <w:font w:name="宋体">
    <w:panose1 w:val="02010600030101010101"/>
    <w:charset w:val="86"/>
    <w:family w:val="auto"/>
    <w:pitch w:val="default"/>
    <w:sig w:usb0="00000203" w:usb1="288F0000" w:usb2="00000006" w:usb3="00000000" w:csb0="00040001" w:csb1="00000000"/>
    <w:embedRegular r:id="rId2" w:fontKey="{1D051DF2-9A56-4AFE-B7D1-E0551301E43B}"/>
  </w:font>
  <w:font w:name="Wingdings">
    <w:panose1 w:val="05000000000000000000"/>
    <w:charset w:val="02"/>
    <w:family w:val="auto"/>
    <w:pitch w:val="default"/>
    <w:sig w:usb0="00000000" w:usb1="00000000" w:usb2="00000000" w:usb3="00000000" w:csb0="80000000" w:csb1="00000000"/>
    <w:embedRegular r:id="rId3" w:fontKey="{11AA8877-B469-4952-A0B1-3B9AD3542B93}"/>
  </w:font>
  <w:font w:name="Arial">
    <w:panose1 w:val="020B0604020202020204"/>
    <w:charset w:val="01"/>
    <w:family w:val="swiss"/>
    <w:pitch w:val="default"/>
    <w:sig w:usb0="E0002EFF" w:usb1="C000785B" w:usb2="00000009" w:usb3="00000000" w:csb0="400001FF" w:csb1="FFFF0000"/>
    <w:embedRegular r:id="rId4" w:fontKey="{88962E75-932F-411A-9C01-771789CC2380}"/>
  </w:font>
  <w:font w:name="黑体">
    <w:panose1 w:val="02010609060101010101"/>
    <w:charset w:val="86"/>
    <w:family w:val="auto"/>
    <w:pitch w:val="default"/>
    <w:sig w:usb0="800002BF" w:usb1="38CF7CFA" w:usb2="00000016" w:usb3="00000000" w:csb0="00040001" w:csb1="00000000"/>
    <w:embedRegular r:id="rId5" w:fontKey="{0D2DFB48-0B77-43B1-BDF4-0626839998B1}"/>
  </w:font>
  <w:font w:name="Courier New">
    <w:panose1 w:val="02070309020205020404"/>
    <w:charset w:val="01"/>
    <w:family w:val="modern"/>
    <w:pitch w:val="default"/>
    <w:sig w:usb0="E0002EFF" w:usb1="C0007843" w:usb2="00000009" w:usb3="00000000" w:csb0="400001FF" w:csb1="FFFF0000"/>
    <w:embedRegular r:id="rId6" w:fontKey="{9C26BF1D-FEAB-4CC6-A0B8-41230E7F6084}"/>
  </w:font>
  <w:font w:name="Symbol">
    <w:panose1 w:val="05050102010706020507"/>
    <w:charset w:val="02"/>
    <w:family w:val="roman"/>
    <w:pitch w:val="default"/>
    <w:sig w:usb0="00000000" w:usb1="00000000" w:usb2="00000000" w:usb3="00000000" w:csb0="80000000" w:csb1="00000000"/>
    <w:embedRegular r:id="rId7" w:fontKey="{367273D5-CA9C-495F-A029-835568B7347E}"/>
  </w:font>
  <w:font w:name="Calibri">
    <w:panose1 w:val="020F0502020204030204"/>
    <w:charset w:val="00"/>
    <w:family w:val="swiss"/>
    <w:pitch w:val="default"/>
    <w:sig w:usb0="E4002EFF" w:usb1="C000247B" w:usb2="00000009" w:usb3="00000000" w:csb0="200001FF" w:csb1="00000000"/>
    <w:embedRegular r:id="rId8" w:fontKey="{9F4A4863-4F9A-42E5-88D0-E4B5A2E43EBB}"/>
  </w:font>
  <w:font w:name="方正小标宋简体">
    <w:panose1 w:val="03000509000000000000"/>
    <w:charset w:val="86"/>
    <w:family w:val="auto"/>
    <w:pitch w:val="default"/>
    <w:sig w:usb0="00000001" w:usb1="080E0000" w:usb2="00000000" w:usb3="00000000" w:csb0="00040000" w:csb1="00000000"/>
    <w:embedRegular r:id="rId9" w:fontKey="{5C26AFDC-D033-4785-AA8F-B215A341F185}"/>
  </w:font>
  <w:font w:name="方正仿宋_GB2312">
    <w:panose1 w:val="02000000000000000000"/>
    <w:charset w:val="86"/>
    <w:family w:val="auto"/>
    <w:pitch w:val="default"/>
    <w:sig w:usb0="A00002BF" w:usb1="184F6CFA" w:usb2="00000012" w:usb3="00000000" w:csb0="00040001" w:csb1="00000000"/>
    <w:embedRegular r:id="rId10" w:fontKey="{9C7A12F8-32F1-41BD-92D9-AE4620BE822A}"/>
  </w:font>
  <w:font w:name="仿宋_GB2312">
    <w:panose1 w:val="02010609030101010101"/>
    <w:charset w:val="86"/>
    <w:family w:val="modern"/>
    <w:pitch w:val="default"/>
    <w:sig w:usb0="00000001" w:usb1="080E0000" w:usb2="00000000" w:usb3="00000000" w:csb0="00040000" w:csb1="00000000"/>
    <w:embedRegular r:id="rId11" w:fontKey="{9A63FB9D-00B5-4E22-BCA1-B915B424F4C1}"/>
  </w:font>
  <w:font w:name="等线">
    <w:panose1 w:val="02010600030101010101"/>
    <w:charset w:val="86"/>
    <w:family w:val="auto"/>
    <w:pitch w:val="default"/>
    <w:sig w:usb0="A00002BF" w:usb1="38CF7CFA" w:usb2="00000016" w:usb3="00000000" w:csb0="0004000F" w:csb1="00000000"/>
    <w:embedRegular r:id="rId12" w:fontKey="{5828F4AC-4CE7-48F6-A261-0DE3FFB73AB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0MTI5ODIxZDI1M2RmNWYyYmVlNDQ1YWZhMzYzODQifQ=="/>
  </w:docVars>
  <w:rsids>
    <w:rsidRoot w:val="3B5A4659"/>
    <w:rsid w:val="001532FB"/>
    <w:rsid w:val="002311A2"/>
    <w:rsid w:val="002C4185"/>
    <w:rsid w:val="00306474"/>
    <w:rsid w:val="003B059A"/>
    <w:rsid w:val="00440884"/>
    <w:rsid w:val="004E5EF1"/>
    <w:rsid w:val="0057655B"/>
    <w:rsid w:val="005B3791"/>
    <w:rsid w:val="005B63FF"/>
    <w:rsid w:val="006F1A4C"/>
    <w:rsid w:val="00776303"/>
    <w:rsid w:val="00816B46"/>
    <w:rsid w:val="0093534C"/>
    <w:rsid w:val="00976ED7"/>
    <w:rsid w:val="00AC3C3A"/>
    <w:rsid w:val="00C06CD6"/>
    <w:rsid w:val="00D62AF7"/>
    <w:rsid w:val="00DD4E59"/>
    <w:rsid w:val="03463A74"/>
    <w:rsid w:val="03F62DA4"/>
    <w:rsid w:val="069B45C0"/>
    <w:rsid w:val="07DF0035"/>
    <w:rsid w:val="08C23B9D"/>
    <w:rsid w:val="0A163378"/>
    <w:rsid w:val="0A4315DF"/>
    <w:rsid w:val="0AFA5870"/>
    <w:rsid w:val="0B204BAA"/>
    <w:rsid w:val="11F74AF8"/>
    <w:rsid w:val="12307DC9"/>
    <w:rsid w:val="12A21590"/>
    <w:rsid w:val="13E953B8"/>
    <w:rsid w:val="1A4A7DAE"/>
    <w:rsid w:val="1B871089"/>
    <w:rsid w:val="1C55666A"/>
    <w:rsid w:val="1C961170"/>
    <w:rsid w:val="1D494981"/>
    <w:rsid w:val="1FC57421"/>
    <w:rsid w:val="200A3A07"/>
    <w:rsid w:val="28E868B0"/>
    <w:rsid w:val="29684F89"/>
    <w:rsid w:val="2BBE7D9C"/>
    <w:rsid w:val="2CB31956"/>
    <w:rsid w:val="2D125BFD"/>
    <w:rsid w:val="2E73135D"/>
    <w:rsid w:val="31491986"/>
    <w:rsid w:val="345E3ECA"/>
    <w:rsid w:val="346F4329"/>
    <w:rsid w:val="34AD030A"/>
    <w:rsid w:val="362353CB"/>
    <w:rsid w:val="37C05A1A"/>
    <w:rsid w:val="39730417"/>
    <w:rsid w:val="3B5A4659"/>
    <w:rsid w:val="3D3B749E"/>
    <w:rsid w:val="3F7B6278"/>
    <w:rsid w:val="402661E4"/>
    <w:rsid w:val="40A37834"/>
    <w:rsid w:val="412A6976"/>
    <w:rsid w:val="41A9206D"/>
    <w:rsid w:val="4A5E2A1E"/>
    <w:rsid w:val="4AB873A4"/>
    <w:rsid w:val="4B62209A"/>
    <w:rsid w:val="4BA83F61"/>
    <w:rsid w:val="4C371D9C"/>
    <w:rsid w:val="4D8F1698"/>
    <w:rsid w:val="4F245FE4"/>
    <w:rsid w:val="50574197"/>
    <w:rsid w:val="51441AFB"/>
    <w:rsid w:val="5294522F"/>
    <w:rsid w:val="52E141EC"/>
    <w:rsid w:val="58F21EBB"/>
    <w:rsid w:val="59F86C66"/>
    <w:rsid w:val="5EAF556D"/>
    <w:rsid w:val="5EC23124"/>
    <w:rsid w:val="5FAD5B82"/>
    <w:rsid w:val="6098238E"/>
    <w:rsid w:val="61BA71E5"/>
    <w:rsid w:val="61CA154B"/>
    <w:rsid w:val="62133014"/>
    <w:rsid w:val="6299419B"/>
    <w:rsid w:val="62F13FD7"/>
    <w:rsid w:val="63903465"/>
    <w:rsid w:val="640E670E"/>
    <w:rsid w:val="64634A61"/>
    <w:rsid w:val="667810D2"/>
    <w:rsid w:val="66D63C10"/>
    <w:rsid w:val="66FB3677"/>
    <w:rsid w:val="68CE6246"/>
    <w:rsid w:val="69971E82"/>
    <w:rsid w:val="6B347157"/>
    <w:rsid w:val="72A71DCF"/>
    <w:rsid w:val="738D1A62"/>
    <w:rsid w:val="74862E3C"/>
    <w:rsid w:val="76280ABF"/>
    <w:rsid w:val="77996CC0"/>
    <w:rsid w:val="79870D9A"/>
    <w:rsid w:val="79C8563A"/>
    <w:rsid w:val="7B113011"/>
    <w:rsid w:val="7DF00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2098</Words>
  <Characters>2178</Characters>
  <Lines>13</Lines>
  <Paragraphs>3</Paragraphs>
  <TotalTime>54</TotalTime>
  <ScaleCrop>false</ScaleCrop>
  <LinksUpToDate>false</LinksUpToDate>
  <CharactersWithSpaces>2196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2024-04-11T07:34:00Z</dcterms:created>
  <dc:creator>LXWू･ω･` )Molly</dc:creator>
  <cp:lastModifiedBy>LXW|ू･ω･` )Molly</cp:lastModifiedBy>
  <cp:lastPrinted>2025-03-27T08:04:00Z</cp:lastPrinted>
  <dcterms:modified xsi:type="dcterms:W3CDTF">2025-03-28T02:56:38Z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5313B0E2EA74474FBA0ACA79272E38E5_13</vt:lpwstr>
  </property>
  <property fmtid="{D5CDD505-2E9C-101B-9397-08002B2CF9AE}" pid="4" name="KSOTemplateDocerSaveRecord">
    <vt:lpwstr>eyJoZGlkIjoiZWJkYjZiMmUzODgyNThlOWYxNWFiNTcwZDJhZDczZjYiLCJ1c2VySWQiOiIyNDUzOTIyOTcifQ==</vt:lpwstr>
  </property>
</Properties>
</file>