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E7CC4">
      <w:pPr>
        <w:rPr>
          <w:rFonts w:ascii="微软雅黑" w:hAnsi="微软雅黑" w:eastAsia="微软雅黑" w:cs="微软雅黑"/>
          <w:b/>
          <w:bCs/>
          <w:i w:val="0"/>
          <w:iCs w:val="0"/>
          <w:caps w:val="0"/>
          <w:color w:val="333333"/>
          <w:spacing w:val="0"/>
          <w:sz w:val="24"/>
          <w:szCs w:val="24"/>
        </w:rPr>
      </w:pPr>
      <w:bookmarkStart w:id="0" w:name="_GoBack"/>
      <w:r>
        <w:rPr>
          <w:rFonts w:ascii="微软雅黑" w:hAnsi="微软雅黑" w:eastAsia="微软雅黑" w:cs="微软雅黑"/>
          <w:b/>
          <w:bCs/>
          <w:i w:val="0"/>
          <w:iCs w:val="0"/>
          <w:caps w:val="0"/>
          <w:color w:val="333333"/>
          <w:spacing w:val="0"/>
          <w:sz w:val="24"/>
          <w:szCs w:val="24"/>
        </w:rPr>
        <w:t>2025年“心理学+X”交叉学科</w:t>
      </w:r>
      <w:bookmarkEnd w:id="0"/>
      <w:r>
        <w:rPr>
          <w:rFonts w:ascii="微软雅黑" w:hAnsi="微软雅黑" w:eastAsia="微软雅黑" w:cs="微软雅黑"/>
          <w:b/>
          <w:bCs/>
          <w:i w:val="0"/>
          <w:iCs w:val="0"/>
          <w:caps w:val="0"/>
          <w:color w:val="333333"/>
          <w:spacing w:val="0"/>
          <w:sz w:val="24"/>
          <w:szCs w:val="24"/>
        </w:rPr>
        <w:t>博士研究生培养 专项计划招生简章</w:t>
      </w:r>
    </w:p>
    <w:p w14:paraId="188CA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sz w:val="31"/>
          <w:szCs w:val="31"/>
          <w:bdr w:val="none" w:color="auto" w:sz="0" w:space="0"/>
        </w:rPr>
        <w:t>一、项目特点</w:t>
      </w:r>
    </w:p>
    <w:p w14:paraId="5B8CBE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ascii="仿宋_GB2312" w:hAnsi="仿宋_GB2312" w:eastAsia="仿宋_GB2312" w:cs="仿宋_GB2312"/>
          <w:i w:val="0"/>
          <w:iCs w:val="0"/>
          <w:caps w:val="0"/>
          <w:color w:val="333333"/>
          <w:spacing w:val="0"/>
          <w:sz w:val="31"/>
          <w:szCs w:val="31"/>
          <w:bdr w:val="none" w:color="auto" w:sz="0" w:space="0"/>
        </w:rPr>
        <w:t>为响应国家战略需求，天津师范大学依托心理学学科优势，联合人工智能、教育学、管理学、神经科学、社会学等优势学科，打造</w:t>
      </w:r>
      <w:r>
        <w:rPr>
          <w:rFonts w:hint="default" w:ascii="仿宋_GB2312" w:hAnsi="仿宋_GB2312" w:eastAsia="仿宋_GB2312" w:cs="仿宋_GB2312"/>
          <w:i w:val="0"/>
          <w:iCs w:val="0"/>
          <w:caps w:val="0"/>
          <w:color w:val="333333"/>
          <w:spacing w:val="0"/>
          <w:sz w:val="31"/>
          <w:szCs w:val="31"/>
          <w:bdr w:val="none" w:color="auto" w:sz="0" w:space="0"/>
        </w:rPr>
        <w:t>“心理学+X”交叉学科博士培养平台，培养兼具心理学理论基础与跨学科实践能力的复合型领军人才。</w:t>
      </w:r>
    </w:p>
    <w:p w14:paraId="35889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二、招生目录</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6"/>
        <w:gridCol w:w="845"/>
        <w:gridCol w:w="1159"/>
        <w:gridCol w:w="1470"/>
        <w:gridCol w:w="1560"/>
        <w:gridCol w:w="1167"/>
        <w:gridCol w:w="1804"/>
      </w:tblGrid>
      <w:tr w14:paraId="18A5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blCellSpacing w:w="0" w:type="dxa"/>
        </w:trPr>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10EBA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序号</w:t>
            </w:r>
          </w:p>
        </w:tc>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EEC67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招生专业代码</w:t>
            </w:r>
          </w:p>
        </w:tc>
        <w:tc>
          <w:tcPr>
            <w:tcW w:w="17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1558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招生专业名称</w:t>
            </w:r>
          </w:p>
        </w:tc>
        <w:tc>
          <w:tcPr>
            <w:tcW w:w="20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C652B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导师组（带*的为主导师）</w:t>
            </w:r>
          </w:p>
        </w:tc>
        <w:tc>
          <w:tcPr>
            <w:tcW w:w="21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5477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招生学院（部）名称（主导师所在）</w:t>
            </w:r>
          </w:p>
        </w:tc>
        <w:tc>
          <w:tcPr>
            <w:tcW w:w="16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1A02E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交叉研究方向</w:t>
            </w:r>
          </w:p>
        </w:tc>
        <w:tc>
          <w:tcPr>
            <w:tcW w:w="28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C5F1A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i w:val="0"/>
                <w:iCs w:val="0"/>
                <w:caps w:val="0"/>
                <w:color w:val="333333"/>
                <w:spacing w:val="0"/>
                <w:sz w:val="24"/>
                <w:szCs w:val="24"/>
                <w:bdr w:val="none" w:color="auto" w:sz="0" w:space="0"/>
              </w:rPr>
              <w:t>招生对象学术背景要求</w:t>
            </w:r>
          </w:p>
        </w:tc>
      </w:tr>
      <w:tr w14:paraId="2E57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trPr>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367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ascii="等线" w:hAnsi="等线" w:eastAsia="等线" w:cs="等线"/>
                <w:i w:val="0"/>
                <w:iCs w:val="0"/>
                <w:caps w:val="0"/>
                <w:color w:val="333333"/>
                <w:spacing w:val="0"/>
                <w:sz w:val="21"/>
                <w:szCs w:val="21"/>
                <w:bdr w:val="none" w:color="auto" w:sz="0" w:space="0"/>
              </w:rPr>
              <w:t>1</w:t>
            </w:r>
          </w:p>
        </w:tc>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1A45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0402</w:t>
            </w:r>
          </w:p>
        </w:tc>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64ED8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w:t>
            </w:r>
          </w:p>
        </w:tc>
        <w:tc>
          <w:tcPr>
            <w:tcW w:w="214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DEBB5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白学军*、熊德意</w:t>
            </w:r>
          </w:p>
        </w:tc>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2C62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心理学部</w:t>
            </w:r>
          </w:p>
        </w:tc>
        <w:tc>
          <w:tcPr>
            <w:tcW w:w="172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FCB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心理健康智能评估与促进</w:t>
            </w:r>
          </w:p>
        </w:tc>
        <w:tc>
          <w:tcPr>
            <w:tcW w:w="262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F83B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心理学、教育学、人工智能、计算机</w:t>
            </w:r>
          </w:p>
        </w:tc>
      </w:tr>
      <w:tr w14:paraId="3875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trPr>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DFCD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2</w:t>
            </w:r>
          </w:p>
        </w:tc>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6EE3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0402</w:t>
            </w:r>
          </w:p>
        </w:tc>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7C622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w:t>
            </w: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9828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杨海波*、王为</w:t>
            </w:r>
          </w:p>
        </w:tc>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90E06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心理学部</w:t>
            </w:r>
          </w:p>
        </w:tc>
        <w:tc>
          <w:tcPr>
            <w:tcW w:w="17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CE4B6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心理健康智能评估与促进</w:t>
            </w:r>
          </w:p>
        </w:tc>
        <w:tc>
          <w:tcPr>
            <w:tcW w:w="262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43310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心理学、教育学、人工智能、计算机</w:t>
            </w:r>
          </w:p>
        </w:tc>
      </w:tr>
      <w:tr w14:paraId="7A08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trPr>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E03C2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3</w:t>
            </w:r>
          </w:p>
        </w:tc>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C0F65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0402</w:t>
            </w:r>
          </w:p>
        </w:tc>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3C11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w:t>
            </w: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453FF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梁菲菲*、赵子平</w:t>
            </w:r>
          </w:p>
        </w:tc>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32FA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心理学部</w:t>
            </w:r>
          </w:p>
        </w:tc>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58AB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阅读素养智能评估与促进</w:t>
            </w:r>
          </w:p>
        </w:tc>
        <w:tc>
          <w:tcPr>
            <w:tcW w:w="262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F6DBA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心理学、教育学、人工智能、计算机、文学</w:t>
            </w:r>
          </w:p>
        </w:tc>
      </w:tr>
      <w:tr w14:paraId="0BD3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trPr>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DD45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4</w:t>
            </w:r>
          </w:p>
        </w:tc>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EA8C7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0402</w:t>
            </w:r>
          </w:p>
        </w:tc>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85A4B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w:t>
            </w: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E8C5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汪强*、常慧宾</w:t>
            </w:r>
          </w:p>
        </w:tc>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99A4E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心理学部</w:t>
            </w:r>
          </w:p>
        </w:tc>
        <w:tc>
          <w:tcPr>
            <w:tcW w:w="17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B020D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神经影像计算</w:t>
            </w:r>
          </w:p>
        </w:tc>
        <w:tc>
          <w:tcPr>
            <w:tcW w:w="262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486F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22"/>
                <w:szCs w:val="22"/>
              </w:rPr>
            </w:pPr>
            <w:r>
              <w:rPr>
                <w:rFonts w:hint="eastAsia" w:ascii="等线" w:hAnsi="等线" w:eastAsia="等线" w:cs="等线"/>
                <w:i w:val="0"/>
                <w:iCs w:val="0"/>
                <w:caps w:val="0"/>
                <w:color w:val="333333"/>
                <w:spacing w:val="0"/>
                <w:sz w:val="21"/>
                <w:szCs w:val="21"/>
                <w:bdr w:val="none" w:color="auto" w:sz="0" w:space="0"/>
              </w:rPr>
              <w:t>心理学、神经科学、数学、计算机</w:t>
            </w:r>
          </w:p>
        </w:tc>
      </w:tr>
    </w:tbl>
    <w:p w14:paraId="3A2FF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三、招生规模</w:t>
      </w:r>
    </w:p>
    <w:p w14:paraId="658E5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每位主导师限招1名，2025年该专项计划拟招生4名。</w:t>
      </w:r>
    </w:p>
    <w:p w14:paraId="6F0C37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四、招生办法</w:t>
      </w:r>
    </w:p>
    <w:p w14:paraId="3CE36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采用</w:t>
      </w:r>
      <w:r>
        <w:rPr>
          <w:rFonts w:hint="eastAsia" w:ascii="等线" w:hAnsi="等线" w:eastAsia="等线" w:cs="等线"/>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rPr>
        <w:t>申请-考核</w:t>
      </w:r>
      <w:r>
        <w:rPr>
          <w:rFonts w:hint="eastAsia" w:ascii="等线" w:hAnsi="等线" w:eastAsia="等线" w:cs="等线"/>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rPr>
        <w:t>制招生。</w:t>
      </w:r>
    </w:p>
    <w:p w14:paraId="67A00D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五、招生对象</w:t>
      </w:r>
    </w:p>
    <w:p w14:paraId="1F733F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仅招收普通招考考生。</w:t>
      </w:r>
    </w:p>
    <w:p w14:paraId="603457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六、报考条件</w:t>
      </w:r>
    </w:p>
    <w:p w14:paraId="501C2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ascii="楷体" w:hAnsi="楷体" w:eastAsia="楷体" w:cs="楷体"/>
          <w:i w:val="0"/>
          <w:iCs w:val="0"/>
          <w:caps w:val="0"/>
          <w:color w:val="333333"/>
          <w:spacing w:val="0"/>
          <w:sz w:val="31"/>
          <w:szCs w:val="31"/>
          <w:bdr w:val="none" w:color="auto" w:sz="0" w:space="0"/>
        </w:rPr>
        <w:t>（一）基本条件</w:t>
      </w:r>
    </w:p>
    <w:p w14:paraId="6E338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1.基本要求：符合《天津师范大学2025年招收攻读博士学位研究生简章》中报考条件的（一）、（二）、（三）条要求。</w:t>
      </w:r>
    </w:p>
    <w:p w14:paraId="47A9A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2.年龄不超过40周岁（1985年1月1日（含）以后出生）。</w:t>
      </w:r>
    </w:p>
    <w:p w14:paraId="5A6199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3.有至少两位（其中必须有一名非本校专家）所报考学科专业领域内的教授（或相当专业技术职称的专家）的书面推荐意见。</w:t>
      </w:r>
    </w:p>
    <w:p w14:paraId="3EA07A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（二）学位学历条件</w:t>
      </w:r>
    </w:p>
    <w:p w14:paraId="1D1C3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1.硕士研究生毕业或已获硕士学位的人员（在国（境）外获得学历学位的人员需在综合考核时提供教育部留学服务中心出具的《国（境）外学历学位认证书》，否则取消考核资格）；</w:t>
      </w:r>
    </w:p>
    <w:p w14:paraId="5E586A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2.2025年应届硕士毕业生（指在国（境）内就读且毕业时（2025年7月左右）同时获得硕士研究生毕业证书和硕士学位证书的学生，最迟须在2025年秋季学期学校规定的入学报到日前毕业并取得硕士学位，否则取消入学资格）；</w:t>
      </w:r>
    </w:p>
    <w:p w14:paraId="60ED35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4E1B4B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（三）科研条件</w:t>
      </w:r>
    </w:p>
    <w:p w14:paraId="13506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2025年应届毕业生须以独立作者或第一作者（或导师第一作者、申请人第二作者，或英文通讯作者），在SCI、SSCI、A&amp;HCI、EI、CSSCI源刊发表至少1篇学术论文；</w:t>
      </w:r>
    </w:p>
    <w:p w14:paraId="3EDBC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非2025年应届毕业生须以独立作者或第一作者（或导师第一作者、申请人第二作者，或英文通讯作者），近三年在SCI、SSCI、A&amp;HCI、EI、CSSCI源刊发表至少2篇学术论文。</w:t>
      </w:r>
    </w:p>
    <w:p w14:paraId="00F610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以上成果均要求与心理学及相关学科专业相关。</w:t>
      </w:r>
    </w:p>
    <w:p w14:paraId="035D27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7"/>
          <w:rFonts w:hint="eastAsia" w:ascii="楷体" w:hAnsi="楷体" w:eastAsia="楷体" w:cs="楷体"/>
          <w:i w:val="0"/>
          <w:iCs w:val="0"/>
          <w:caps w:val="0"/>
          <w:color w:val="333333"/>
          <w:spacing w:val="0"/>
          <w:sz w:val="31"/>
          <w:szCs w:val="31"/>
          <w:bdr w:val="none" w:color="auto" w:sz="0" w:space="0"/>
        </w:rPr>
        <w:t>（四）外语水平</w:t>
      </w:r>
    </w:p>
    <w:p w14:paraId="6B2A7D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1.CET-6≥425分；</w:t>
      </w:r>
    </w:p>
    <w:p w14:paraId="30BED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2.IELTS≥6.0分；</w:t>
      </w:r>
    </w:p>
    <w:p w14:paraId="776E59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3.TOEFL≥80分；</w:t>
      </w:r>
    </w:p>
    <w:p w14:paraId="79BDF1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4.专业英语八级≥60分；</w:t>
      </w:r>
    </w:p>
    <w:p w14:paraId="618376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5.全国英语等级考试第五级（PETS5≥60）；</w:t>
      </w:r>
    </w:p>
    <w:p w14:paraId="2B977E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6.已在英文国际期刊上以第一作者（或导师第一、本人第二）发表过英文学术论文；</w:t>
      </w:r>
    </w:p>
    <w:p w14:paraId="0E7F9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5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7.在英语为母语的国家留学一学年以上（需要提供教育部留学服务中心的学历学位认证证明）。</w:t>
      </w:r>
    </w:p>
    <w:p w14:paraId="429B94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七、报名、考核及录取</w:t>
      </w:r>
    </w:p>
    <w:p w14:paraId="53F227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按照《天津师范大学2025年招收攻读博士学位研究生简章》和主导师所在学科</w:t>
      </w:r>
      <w:r>
        <w:rPr>
          <w:rFonts w:hint="eastAsia" w:ascii="等线" w:hAnsi="等线" w:eastAsia="等线" w:cs="等线"/>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rPr>
        <w:t>申请-考核</w:t>
      </w:r>
      <w:r>
        <w:rPr>
          <w:rFonts w:hint="eastAsia" w:ascii="等线" w:hAnsi="等线" w:eastAsia="等线" w:cs="等线"/>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rPr>
        <w:t>制实施细则中的报名申请流程、考核要求及录取规则执行，报名时间为2025年4月28日-5月18日，提交申请材料截止时间为5月19日，考核时间为5月27日-6月6日，具体时间另行通知。</w:t>
      </w:r>
    </w:p>
    <w:p w14:paraId="0DE4B0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八、其他</w:t>
      </w:r>
    </w:p>
    <w:p w14:paraId="0DA36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1.交叉学科培养博士研究生学籍和日常管理在主导师所在学部（院）。</w:t>
      </w:r>
    </w:p>
    <w:p w14:paraId="6C460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2.交叉学科培养博士研究生达到学位授予要求的授予相应学科的博士学位。</w:t>
      </w:r>
    </w:p>
    <w:p w14:paraId="2A0FAC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3.未尽事宜，以《天津师范大学2025年招收攻读博士学位研究生简章》和教育部及学校最新通知为准。</w:t>
      </w:r>
    </w:p>
    <w:p w14:paraId="269A9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九、导师简介及联系方式</w:t>
      </w:r>
    </w:p>
    <w:p w14:paraId="1162F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96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导师简介详见天津师范大学心理学部师资队伍介绍</w:t>
      </w:r>
    </w:p>
    <w:p w14:paraId="2C9BF74B">
      <w:pPr>
        <w:rPr>
          <w:rFonts w:hint="default" w:ascii="微软雅黑" w:hAnsi="微软雅黑" w:eastAsia="微软雅黑" w:cs="微软雅黑"/>
          <w:b/>
          <w:bCs/>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MicrosoftYaHei-Bold">
    <w:altName w:val="Segoe Print"/>
    <w:panose1 w:val="00000000000000000000"/>
    <w:charset w:val="00"/>
    <w:family w:val="auto"/>
    <w:pitch w:val="default"/>
    <w:sig w:usb0="00000000" w:usb1="00000000" w:usb2="00000000" w:usb3="00000000" w:csb0="00000000" w:csb1="00000000"/>
  </w:font>
  <w:font w:name="长城小">
    <w:altName w:val="Segoe Print"/>
    <w:panose1 w:val="00000000000000000000"/>
    <w:charset w:val="00"/>
    <w:family w:val="auto"/>
    <w:pitch w:val="default"/>
    <w:sig w:usb0="00000000" w:usb1="00000000" w:usb2="00000000" w:usb3="00000000" w:csb0="00000000" w:csb1="00000000"/>
  </w:font>
  <w:font w:name="长城小标宋体">
    <w:altName w:val="宋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___wrd_embed_sub_45">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4086E"/>
    <w:rsid w:val="3894086E"/>
    <w:rsid w:val="51E2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276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2025-05-13T01:05:00Z</dcterms:created>
  <dc:creator>WPS_1663235086</dc:creator>
  <cp:lastModifiedBy>WPS_1663235086</cp:lastModifiedBy>
  <dcterms:modified xsi:type="dcterms:W3CDTF">2025-05-13T08:10:26Z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A086F313FE974805A0720BCE15091867_13</vt:lpwstr>
  </property>
  <property fmtid="{D5CDD505-2E9C-101B-9397-08002B2CF9AE}" pid="4" name="KSOTemplateDocerSaveRecord">
    <vt:lpwstr>eyJoZGlkIjoiYTFmNmVhOTkxNjMwODU5NTJlYjI4NDc1ZWVjNjRhZWUiLCJ1c2VySWQiOiIxNDE1NTEzMzA2In0=</vt:lpwstr>
  </property>
</Properties>
</file>