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D50AF">
      <w:pPr>
        <w:keepNext w:val="0"/>
        <w:keepLines w:val="0"/>
        <w:pageBreakBefore w:val="0"/>
        <w:kinsoku/>
        <w:overflowPunct/>
        <w:topLinePunct w:val="0"/>
        <w:autoSpaceDE/>
        <w:autoSpaceDN/>
        <w:bidi w:val="0"/>
        <w:spacing w:beforeAutospacing="0" w:afterAutospacing="0" w:line="360" w:lineRule="auto"/>
        <w:jc w:val="center"/>
        <w:textAlignment w:val="auto"/>
        <w:rPr>
          <w:rFonts w:hint="default" w:ascii="Times New Roman" w:hAnsi="Times New Roman" w:eastAsia="仿宋" w:cs="Times New Roman"/>
          <w:b/>
          <w:bCs/>
          <w:sz w:val="36"/>
          <w:szCs w:val="36"/>
          <w:lang w:val="en-US" w:eastAsia="zh-CN"/>
        </w:rPr>
      </w:pPr>
      <w:r>
        <w:rPr>
          <w:rFonts w:hint="default" w:ascii="Times New Roman" w:hAnsi="Times New Roman" w:eastAsia="仿宋" w:cs="Times New Roman"/>
          <w:b/>
          <w:bCs/>
          <w:sz w:val="36"/>
          <w:szCs w:val="36"/>
          <w:u w:val="single"/>
          <w:lang w:val="en-US" w:eastAsia="zh-CN"/>
        </w:rPr>
        <w:t>物理与电子工程</w:t>
      </w:r>
      <w:r>
        <w:rPr>
          <w:rFonts w:hint="default" w:ascii="Times New Roman" w:hAnsi="Times New Roman" w:eastAsia="仿宋" w:cs="Times New Roman"/>
          <w:b/>
          <w:bCs/>
          <w:sz w:val="36"/>
          <w:szCs w:val="36"/>
          <w:u w:val="none"/>
          <w:lang w:val="en-US" w:eastAsia="zh-CN"/>
        </w:rPr>
        <w:t>学院</w:t>
      </w:r>
      <w:r>
        <w:rPr>
          <w:rFonts w:hint="default" w:ascii="Times New Roman" w:hAnsi="Times New Roman" w:eastAsia="仿宋" w:cs="Times New Roman"/>
          <w:b/>
          <w:bCs/>
          <w:sz w:val="36"/>
          <w:szCs w:val="36"/>
          <w:lang w:val="en-US" w:eastAsia="zh-CN"/>
        </w:rPr>
        <w:t>202</w:t>
      </w:r>
      <w:r>
        <w:rPr>
          <w:rFonts w:hint="eastAsia" w:ascii="Times New Roman" w:hAnsi="Times New Roman" w:eastAsia="仿宋" w:cs="Times New Roman"/>
          <w:b/>
          <w:bCs/>
          <w:sz w:val="36"/>
          <w:szCs w:val="36"/>
          <w:lang w:val="en-US" w:eastAsia="zh-CN"/>
        </w:rPr>
        <w:t>6</w:t>
      </w:r>
      <w:r>
        <w:rPr>
          <w:rFonts w:hint="default" w:ascii="Times New Roman" w:hAnsi="Times New Roman" w:eastAsia="仿宋" w:cs="Times New Roman"/>
          <w:b/>
          <w:bCs/>
          <w:sz w:val="36"/>
          <w:szCs w:val="36"/>
          <w:lang w:val="en-US" w:eastAsia="zh-CN"/>
        </w:rPr>
        <w:t>年博士研究生录取办法</w:t>
      </w:r>
    </w:p>
    <w:p w14:paraId="18C23599">
      <w:pPr>
        <w:keepNext w:val="0"/>
        <w:keepLines w:val="0"/>
        <w:pageBreakBefore w:val="0"/>
        <w:kinsoku/>
        <w:overflowPunct/>
        <w:topLinePunct w:val="0"/>
        <w:autoSpaceDE/>
        <w:autoSpaceDN/>
        <w:bidi w:val="0"/>
        <w:spacing w:beforeAutospacing="0" w:afterAutospacing="0" w:line="360" w:lineRule="auto"/>
        <w:jc w:val="both"/>
        <w:textAlignment w:val="auto"/>
        <w:rPr>
          <w:rFonts w:hint="default" w:ascii="Times New Roman" w:hAnsi="Times New Roman" w:eastAsia="仿宋" w:cs="Times New Roman"/>
          <w:b/>
          <w:bCs/>
          <w:sz w:val="30"/>
          <w:szCs w:val="30"/>
          <w:lang w:val="en-US" w:eastAsia="zh-CN"/>
        </w:rPr>
      </w:pPr>
    </w:p>
    <w:p w14:paraId="0CA57A87">
      <w:pPr>
        <w:keepNext w:val="0"/>
        <w:keepLines w:val="0"/>
        <w:pageBreakBefore w:val="0"/>
        <w:kinsoku/>
        <w:overflowPunct/>
        <w:topLinePunct w:val="0"/>
        <w:autoSpaceDE/>
        <w:autoSpaceDN/>
        <w:bidi w:val="0"/>
        <w:spacing w:beforeAutospacing="0" w:afterAutospacing="0" w:line="360" w:lineRule="auto"/>
        <w:ind w:firstLine="600" w:firstLineChars="200"/>
        <w:jc w:val="both"/>
        <w:textAlignment w:val="auto"/>
        <w:rPr>
          <w:rFonts w:hint="default" w:ascii="Times New Roman" w:hAnsi="Times New Roman" w:eastAsia="仿宋" w:cs="Times New Roman"/>
          <w:bCs/>
          <w:color w:val="000000" w:themeColor="text1"/>
          <w:sz w:val="30"/>
          <w:szCs w:val="30"/>
          <w14:textFill>
            <w14:solidFill>
              <w14:schemeClr w14:val="tx1"/>
            </w14:solidFill>
          </w14:textFill>
        </w:rPr>
      </w:pPr>
      <w:r>
        <w:rPr>
          <w:rFonts w:hint="default" w:ascii="Times New Roman" w:hAnsi="Times New Roman" w:eastAsia="仿宋" w:cs="Times New Roman"/>
          <w:color w:val="000000" w:themeColor="text1"/>
          <w:sz w:val="30"/>
          <w:szCs w:val="30"/>
          <w14:textFill>
            <w14:solidFill>
              <w14:schemeClr w14:val="tx1"/>
            </w14:solidFill>
          </w14:textFill>
        </w:rPr>
        <w:t>根据教育部</w:t>
      </w:r>
      <w:r>
        <w:rPr>
          <w:rFonts w:hint="default" w:ascii="Times New Roman" w:hAnsi="Times New Roman" w:eastAsia="仿宋" w:cs="Times New Roman"/>
          <w:color w:val="000000" w:themeColor="text1"/>
          <w:sz w:val="30"/>
          <w:szCs w:val="30"/>
          <w:lang w:eastAsia="zh-CN"/>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四川省教育考试院</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以及学校</w:t>
      </w:r>
      <w:r>
        <w:rPr>
          <w:rFonts w:hint="default" w:ascii="Times New Roman" w:hAnsi="Times New Roman" w:eastAsia="仿宋" w:cs="Times New Roman"/>
          <w:color w:val="000000" w:themeColor="text1"/>
          <w:sz w:val="30"/>
          <w:szCs w:val="30"/>
          <w14:textFill>
            <w14:solidFill>
              <w14:schemeClr w14:val="tx1"/>
            </w14:solidFill>
          </w14:textFill>
        </w:rPr>
        <w:t>相关</w:t>
      </w:r>
      <w:r>
        <w:rPr>
          <w:rFonts w:hint="default" w:ascii="Times New Roman" w:hAnsi="Times New Roman" w:eastAsia="仿宋" w:cs="Times New Roman"/>
          <w:bCs/>
          <w:color w:val="000000" w:themeColor="text1"/>
          <w:sz w:val="30"/>
          <w:szCs w:val="30"/>
          <w14:textFill>
            <w14:solidFill>
              <w14:schemeClr w14:val="tx1"/>
            </w14:solidFill>
          </w14:textFill>
        </w:rPr>
        <w:t>文件</w:t>
      </w:r>
      <w:r>
        <w:rPr>
          <w:rFonts w:hint="default" w:ascii="Times New Roman" w:hAnsi="Times New Roman" w:eastAsia="仿宋" w:cs="Times New Roman"/>
          <w:color w:val="000000" w:themeColor="text1"/>
          <w:sz w:val="30"/>
          <w:szCs w:val="30"/>
          <w14:textFill>
            <w14:solidFill>
              <w14:schemeClr w14:val="tx1"/>
            </w14:solidFill>
          </w14:textFill>
        </w:rPr>
        <w:t>规定</w:t>
      </w:r>
      <w:r>
        <w:rPr>
          <w:rFonts w:hint="default" w:ascii="Times New Roman" w:hAnsi="Times New Roman" w:eastAsia="仿宋" w:cs="Times New Roman"/>
          <w:bCs/>
          <w:color w:val="000000" w:themeColor="text1"/>
          <w:sz w:val="30"/>
          <w:szCs w:val="30"/>
          <w14:textFill>
            <w14:solidFill>
              <w14:schemeClr w14:val="tx1"/>
            </w14:solidFill>
          </w14:textFill>
        </w:rPr>
        <w:t>，</w:t>
      </w:r>
      <w:r>
        <w:rPr>
          <w:rFonts w:hint="default" w:ascii="Times New Roman" w:hAnsi="Times New Roman" w:eastAsia="仿宋" w:cs="Times New Roman"/>
          <w:color w:val="000000" w:themeColor="text1"/>
          <w:sz w:val="30"/>
          <w:szCs w:val="30"/>
          <w14:textFill>
            <w14:solidFill>
              <w14:schemeClr w14:val="tx1"/>
            </w14:solidFill>
          </w14:textFill>
        </w:rPr>
        <w:t>结合我</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院</w:t>
      </w:r>
      <w:r>
        <w:rPr>
          <w:rFonts w:hint="default" w:ascii="Times New Roman" w:hAnsi="Times New Roman" w:eastAsia="仿宋" w:cs="Times New Roman"/>
          <w:color w:val="000000" w:themeColor="text1"/>
          <w:sz w:val="30"/>
          <w:szCs w:val="30"/>
          <w14:textFill>
            <w14:solidFill>
              <w14:schemeClr w14:val="tx1"/>
            </w14:solidFill>
          </w14:textFill>
        </w:rPr>
        <w:t>实际情况，为做好今年博士研究生录取工作，制定此</w:t>
      </w:r>
      <w:r>
        <w:rPr>
          <w:rFonts w:hint="default" w:ascii="Times New Roman" w:hAnsi="Times New Roman" w:eastAsia="仿宋" w:cs="Times New Roman"/>
          <w:bCs/>
          <w:color w:val="000000" w:themeColor="text1"/>
          <w:sz w:val="30"/>
          <w:szCs w:val="30"/>
          <w:lang w:val="en-US" w:eastAsia="zh-CN"/>
          <w14:textFill>
            <w14:solidFill>
              <w14:schemeClr w14:val="tx1"/>
            </w14:solidFill>
          </w14:textFill>
        </w:rPr>
        <w:t>录取办法</w:t>
      </w:r>
      <w:r>
        <w:rPr>
          <w:rFonts w:hint="default" w:ascii="Times New Roman" w:hAnsi="Times New Roman" w:eastAsia="仿宋" w:cs="Times New Roman"/>
          <w:bCs/>
          <w:color w:val="000000" w:themeColor="text1"/>
          <w:sz w:val="30"/>
          <w:szCs w:val="30"/>
          <w14:textFill>
            <w14:solidFill>
              <w14:schemeClr w14:val="tx1"/>
            </w14:solidFill>
          </w14:textFill>
        </w:rPr>
        <w:t>。</w:t>
      </w:r>
    </w:p>
    <w:p w14:paraId="498EE42B">
      <w:pPr>
        <w:keepNext w:val="0"/>
        <w:keepLines w:val="0"/>
        <w:pageBreakBefore w:val="0"/>
        <w:numPr>
          <w:ilvl w:val="0"/>
          <w:numId w:val="1"/>
        </w:numPr>
        <w:kinsoku/>
        <w:overflowPunct/>
        <w:topLinePunct w:val="0"/>
        <w:autoSpaceDE/>
        <w:autoSpaceDN/>
        <w:bidi w:val="0"/>
        <w:spacing w:beforeAutospacing="0" w:afterAutospacing="0" w:line="360" w:lineRule="auto"/>
        <w:ind w:firstLine="602" w:firstLineChars="200"/>
        <w:jc w:val="both"/>
        <w:textAlignment w:val="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lang w:val="en-US" w:eastAsia="zh-CN"/>
          <w14:textFill>
            <w14:solidFill>
              <w14:schemeClr w14:val="tx1"/>
            </w14:solidFill>
          </w14:textFill>
        </w:rPr>
        <w:t>录取规则</w:t>
      </w:r>
    </w:p>
    <w:p w14:paraId="154CCC4A">
      <w:pPr>
        <w:keepNext w:val="0"/>
        <w:keepLines w:val="0"/>
        <w:pageBreakBefore w:val="0"/>
        <w:numPr>
          <w:ilvl w:val="0"/>
          <w:numId w:val="2"/>
        </w:numPr>
        <w:kinsoku/>
        <w:overflowPunct/>
        <w:topLinePunct w:val="0"/>
        <w:autoSpaceDE/>
        <w:autoSpaceDN/>
        <w:bidi w:val="0"/>
        <w:spacing w:beforeAutospacing="0" w:afterAutospacing="0" w:line="360" w:lineRule="auto"/>
        <w:ind w:firstLine="600"/>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根据“全面衡量、择优录取、确保质量、宁缺毋滥”的原则，按照</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报考同一专业</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考生</w:t>
      </w:r>
      <w:r>
        <w:rPr>
          <w:rFonts w:hint="eastAsia" w:ascii="Times New Roman" w:hAnsi="Times New Roman" w:eastAsia="仿宋" w:cs="Times New Roman"/>
          <w:color w:val="000000" w:themeColor="text1"/>
          <w:sz w:val="30"/>
          <w:szCs w:val="30"/>
          <w:lang w:val="en-US" w:eastAsia="zh-CN"/>
          <w14:textFill>
            <w14:solidFill>
              <w14:schemeClr w14:val="tx1"/>
            </w14:solidFill>
          </w14:textFill>
        </w:rPr>
        <w:t>的</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综合成绩排序，择优录取，第二阶段考核任一单项成绩不及格</w:t>
      </w:r>
      <w:bookmarkStart w:id="0" w:name="OLE_LINK5"/>
      <w:r>
        <w:rPr>
          <w:rFonts w:hint="default" w:ascii="Times New Roman" w:hAnsi="Times New Roman" w:eastAsia="仿宋" w:cs="Times New Roman"/>
          <w:color w:val="000000" w:themeColor="text1"/>
          <w:sz w:val="30"/>
          <w:szCs w:val="30"/>
          <w:lang w:val="en-US" w:eastAsia="zh-CN"/>
          <w14:textFill>
            <w14:solidFill>
              <w14:schemeClr w14:val="tx1"/>
            </w14:solidFill>
          </w14:textFill>
        </w:rPr>
        <w:t>（百分制60分以下）</w:t>
      </w:r>
      <w:bookmarkEnd w:id="0"/>
      <w:r>
        <w:rPr>
          <w:rFonts w:hint="default" w:ascii="Times New Roman" w:hAnsi="Times New Roman" w:eastAsia="仿宋" w:cs="Times New Roman"/>
          <w:color w:val="000000" w:themeColor="text1"/>
          <w:sz w:val="30"/>
          <w:szCs w:val="30"/>
          <w:lang w:val="en-US" w:eastAsia="zh-CN"/>
          <w14:textFill>
            <w14:solidFill>
              <w14:schemeClr w14:val="tx1"/>
            </w14:solidFill>
          </w14:textFill>
        </w:rPr>
        <w:t>，不能参与考生综合成绩排序。</w:t>
      </w:r>
    </w:p>
    <w:p w14:paraId="73F435DA">
      <w:pPr>
        <w:keepNext w:val="0"/>
        <w:keepLines w:val="0"/>
        <w:pageBreakBefore w:val="0"/>
        <w:numPr>
          <w:ilvl w:val="0"/>
          <w:numId w:val="2"/>
        </w:numPr>
        <w:kinsoku/>
        <w:overflowPunct/>
        <w:topLinePunct w:val="0"/>
        <w:autoSpaceDE/>
        <w:autoSpaceDN/>
        <w:bidi w:val="0"/>
        <w:spacing w:beforeAutospacing="0" w:afterAutospacing="0" w:line="360" w:lineRule="auto"/>
        <w:ind w:firstLine="600"/>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递补拟录取规则：</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申请-考核</w:t>
      </w:r>
      <w:r>
        <w:rPr>
          <w:rFonts w:hint="default" w:ascii="Times New Roman" w:hAnsi="Times New Roman" w:eastAsia="仿宋" w:cs="Times New Roman"/>
          <w:color w:val="000000" w:themeColor="text1"/>
          <w:sz w:val="28"/>
          <w:szCs w:val="28"/>
          <w14:textFill>
            <w14:solidFill>
              <w14:schemeClr w14:val="tx1"/>
            </w14:solidFill>
          </w14:textFill>
        </w:rPr>
        <w:t>拟录取考生放弃拟录取，按照综合成绩排序，由报考同一学科专业的普通招考考生依次递补录取</w:t>
      </w:r>
      <w:r>
        <w:rPr>
          <w:rFonts w:hint="default" w:ascii="Times New Roman" w:hAnsi="Times New Roman" w:eastAsia="仿宋" w:cs="Times New Roman"/>
          <w:color w:val="000000" w:themeColor="text1"/>
          <w:sz w:val="28"/>
          <w:szCs w:val="28"/>
          <w:lang w:eastAsia="zh-CN"/>
          <w14:textFill>
            <w14:solidFill>
              <w14:schemeClr w14:val="tx1"/>
            </w14:solidFill>
          </w14:textFill>
        </w:rPr>
        <w:t>。</w:t>
      </w:r>
    </w:p>
    <w:p w14:paraId="0D6AB765">
      <w:pPr>
        <w:keepNext w:val="0"/>
        <w:keepLines w:val="0"/>
        <w:pageBreakBefore w:val="0"/>
        <w:numPr>
          <w:ilvl w:val="0"/>
          <w:numId w:val="0"/>
        </w:numPr>
        <w:kinsoku/>
        <w:overflowPunct/>
        <w:topLinePunct w:val="0"/>
        <w:autoSpaceDE/>
        <w:autoSpaceDN/>
        <w:bidi w:val="0"/>
        <w:spacing w:beforeAutospacing="0" w:afterAutospacing="0" w:line="360" w:lineRule="auto"/>
        <w:ind w:firstLine="600"/>
        <w:jc w:val="both"/>
        <w:textAlignment w:val="auto"/>
        <w:rPr>
          <w:rFonts w:hint="default" w:ascii="Times New Roman" w:hAnsi="Times New Roman" w:eastAsia="仿宋" w:cs="Times New Roman"/>
          <w:b/>
          <w:bCs/>
          <w:color w:val="000000" w:themeColor="text1"/>
          <w:sz w:val="30"/>
          <w:szCs w:val="30"/>
          <w14:textFill>
            <w14:solidFill>
              <w14:schemeClr w14:val="tx1"/>
            </w14:solidFill>
          </w14:textFill>
        </w:rPr>
      </w:pPr>
      <w:r>
        <w:rPr>
          <w:rFonts w:hint="default" w:ascii="Times New Roman" w:hAnsi="Times New Roman" w:eastAsia="仿宋" w:cs="Times New Roman"/>
          <w:b/>
          <w:bCs/>
          <w:color w:val="000000" w:themeColor="text1"/>
          <w:sz w:val="30"/>
          <w:szCs w:val="30"/>
          <w:lang w:val="en-US" w:eastAsia="zh-CN"/>
          <w14:textFill>
            <w14:solidFill>
              <w14:schemeClr w14:val="tx1"/>
            </w14:solidFill>
          </w14:textFill>
        </w:rPr>
        <w:t>二、工作流程及要求</w:t>
      </w:r>
    </w:p>
    <w:p w14:paraId="1B747DDF">
      <w:pPr>
        <w:keepNext w:val="0"/>
        <w:keepLines w:val="0"/>
        <w:pageBreakBefore w:val="0"/>
        <w:numPr>
          <w:ilvl w:val="0"/>
          <w:numId w:val="3"/>
        </w:numPr>
        <w:kinsoku/>
        <w:overflowPunct/>
        <w:topLinePunct w:val="0"/>
        <w:autoSpaceDE/>
        <w:autoSpaceDN/>
        <w:bidi w:val="0"/>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硕博连读和申请-考核</w:t>
      </w:r>
    </w:p>
    <w:p w14:paraId="2165E365">
      <w:pPr>
        <w:keepNext w:val="0"/>
        <w:keepLines w:val="0"/>
        <w:pageBreakBefore w:val="0"/>
        <w:numPr>
          <w:ilvl w:val="0"/>
          <w:numId w:val="0"/>
        </w:numPr>
        <w:kinsoku/>
        <w:overflowPunct/>
        <w:topLinePunct w:val="0"/>
        <w:autoSpaceDE/>
        <w:autoSpaceDN/>
        <w:bidi w:val="0"/>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该流程安排详见学院官网通知。</w:t>
      </w:r>
    </w:p>
    <w:p w14:paraId="68542964">
      <w:pPr>
        <w:keepNext w:val="0"/>
        <w:keepLines w:val="0"/>
        <w:pageBreakBefore w:val="0"/>
        <w:numPr>
          <w:ilvl w:val="0"/>
          <w:numId w:val="3"/>
        </w:numPr>
        <w:kinsoku/>
        <w:overflowPunct/>
        <w:topLinePunct w:val="0"/>
        <w:autoSpaceDE/>
        <w:autoSpaceDN/>
        <w:bidi w:val="0"/>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sz w:val="30"/>
          <w:szCs w:val="30"/>
          <w:lang w:val="en-US" w:eastAsia="zh-CN"/>
          <w14:textFill>
            <w14:solidFill>
              <w14:schemeClr w14:val="tx1"/>
            </w14:solidFill>
          </w14:textFill>
        </w:rPr>
        <w:t>普通招考</w:t>
      </w:r>
    </w:p>
    <w:p w14:paraId="36E07239">
      <w:pPr>
        <w:keepNext w:val="0"/>
        <w:keepLines w:val="0"/>
        <w:pageBreakBefore w:val="0"/>
        <w:widowControl/>
        <w:suppressLineNumbers w:val="0"/>
        <w:shd w:val="clear" w:fill="FFFFFF"/>
        <w:kinsoku/>
        <w:wordWrap w:val="0"/>
        <w:overflowPunct/>
        <w:topLinePunct w:val="0"/>
        <w:autoSpaceDE/>
        <w:autoSpaceDN/>
        <w:bidi w:val="0"/>
        <w:spacing w:before="0" w:beforeAutospacing="0" w:after="0" w:afterAutospacing="0" w:line="360" w:lineRule="auto"/>
        <w:ind w:left="0" w:right="0" w:firstLine="6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普通招考分为初试和复试两个阶段。</w:t>
      </w:r>
    </w:p>
    <w:p w14:paraId="2B736FEB">
      <w:pPr>
        <w:keepNext w:val="0"/>
        <w:keepLines w:val="0"/>
        <w:pageBreakBefore w:val="0"/>
        <w:widowControl/>
        <w:numPr>
          <w:ilvl w:val="0"/>
          <w:numId w:val="4"/>
        </w:numPr>
        <w:suppressLineNumbers w:val="0"/>
        <w:shd w:val="clear" w:fill="FFFFFF"/>
        <w:kinsoku/>
        <w:wordWrap w:val="0"/>
        <w:overflowPunct/>
        <w:topLinePunct w:val="0"/>
        <w:autoSpaceDE/>
        <w:autoSpaceDN/>
        <w:bidi w:val="0"/>
        <w:spacing w:before="0" w:beforeAutospacing="0" w:after="0" w:afterAutospacing="0" w:line="360" w:lineRule="auto"/>
        <w:ind w:left="0" w:right="0" w:firstLine="6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第一阶段为初试，其工作流程及要求详见四川师范大学研究生院官网通知。</w:t>
      </w:r>
    </w:p>
    <w:p w14:paraId="5D37D315">
      <w:pPr>
        <w:keepNext w:val="0"/>
        <w:keepLines w:val="0"/>
        <w:pageBreakBefore w:val="0"/>
        <w:widowControl/>
        <w:numPr>
          <w:ilvl w:val="0"/>
          <w:numId w:val="4"/>
        </w:numPr>
        <w:suppressLineNumbers w:val="0"/>
        <w:shd w:val="clear" w:fill="FFFFFF"/>
        <w:kinsoku/>
        <w:wordWrap w:val="0"/>
        <w:overflowPunct/>
        <w:topLinePunct w:val="0"/>
        <w:autoSpaceDE/>
        <w:autoSpaceDN/>
        <w:bidi w:val="0"/>
        <w:spacing w:before="0" w:beforeAutospacing="0" w:after="0" w:afterAutospacing="0" w:line="360" w:lineRule="auto"/>
        <w:ind w:left="0" w:right="0" w:firstLine="6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第二阶段为复试，其工作流程及要求如下：</w:t>
      </w:r>
    </w:p>
    <w:p w14:paraId="27C02A60">
      <w:pPr>
        <w:keepNext w:val="0"/>
        <w:keepLines w:val="0"/>
        <w:pageBreakBefore w:val="0"/>
        <w:widowControl/>
        <w:numPr>
          <w:ilvl w:val="0"/>
          <w:numId w:val="0"/>
        </w:numPr>
        <w:suppressLineNumbers w:val="0"/>
        <w:shd w:val="clear" w:fill="FFFFFF"/>
        <w:kinsoku/>
        <w:wordWrap w:val="0"/>
        <w:overflowPunct/>
        <w:topLinePunct w:val="0"/>
        <w:autoSpaceDE/>
        <w:autoSpaceDN/>
        <w:bidi w:val="0"/>
        <w:spacing w:before="0" w:beforeAutospacing="0" w:after="0" w:afterAutospacing="0" w:line="360" w:lineRule="auto"/>
        <w:ind w:right="0" w:rightChars="0"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（1）</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复试对象：符合复试要求的考生（复试名单在四川师范大学研究生院网站公布，未在名单之内的考生不能参加复试）。</w:t>
      </w:r>
    </w:p>
    <w:p w14:paraId="54F851BC">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600" w:firstLineChars="200"/>
        <w:jc w:val="both"/>
        <w:textAlignment w:val="auto"/>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报到时间</w:t>
      </w:r>
      <w:bookmarkStart w:id="1" w:name="OLE_LINK3"/>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、地点：</w:t>
      </w:r>
    </w:p>
    <w:p w14:paraId="4A1018A2">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202</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6</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年5月</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7</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日（周</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四</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）上午</w:t>
      </w:r>
      <w:bookmarkStart w:id="2" w:name="OLE_LINK6"/>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9</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w:t>
      </w:r>
      <w:bookmarkEnd w:id="2"/>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0</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0-</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9</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0</w:t>
      </w:r>
      <w:bookmarkEnd w:id="1"/>
      <w:bookmarkStart w:id="3" w:name="OLE_LINK4"/>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成龙校区学院办公楼428</w:t>
      </w:r>
      <w:bookmarkEnd w:id="3"/>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w:t>
      </w:r>
    </w:p>
    <w:p w14:paraId="492EC72C">
      <w:pPr>
        <w:keepNext w:val="0"/>
        <w:keepLines w:val="0"/>
        <w:pageBreakBefore w:val="0"/>
        <w:widowControl/>
        <w:numPr>
          <w:ilvl w:val="0"/>
          <w:numId w:val="0"/>
        </w:numPr>
        <w:suppressLineNumbers w:val="0"/>
        <w:shd w:val="clear" w:fill="FFFFFF"/>
        <w:kinsoku/>
        <w:wordWrap w:val="0"/>
        <w:overflowPunct/>
        <w:topLinePunct w:val="0"/>
        <w:autoSpaceDE/>
        <w:autoSpaceDN/>
        <w:bidi w:val="0"/>
        <w:spacing w:before="0" w:beforeAutospacing="0" w:after="0" w:afterAutospacing="0" w:line="360" w:lineRule="auto"/>
        <w:ind w:right="0" w:rightChars="0"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报到资料审核：身份证原件/扫描件、初试准考证、毕业证、学位证、专家推荐信、毕业论文、思想考核表、个人简历、所获奖励、学术成果（含专利）、攻读博士期间研究计划。</w:t>
      </w:r>
    </w:p>
    <w:p w14:paraId="6A445E1F">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600" w:firstLineChars="200"/>
        <w:jc w:val="both"/>
        <w:textAlignment w:val="auto"/>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（3）复试时间</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、地点：</w:t>
      </w:r>
    </w:p>
    <w:p w14:paraId="1221F623">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360" w:lineRule="auto"/>
        <w:ind w:right="0" w:rightChars="0"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202</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6</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年5月</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7</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日（周</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四</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上午9</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0-1</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:00</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成龙校区学院办公楼429（候场428）</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w:t>
      </w:r>
    </w:p>
    <w:p w14:paraId="11E0C3DA">
      <w:pPr>
        <w:pStyle w:val="9"/>
        <w:keepNext w:val="0"/>
        <w:keepLines w:val="0"/>
        <w:pageBreakBefore w:val="0"/>
        <w:kinsoku/>
        <w:overflowPunct/>
        <w:topLinePunct w:val="0"/>
        <w:autoSpaceDE/>
        <w:autoSpaceDN/>
        <w:bidi w:val="0"/>
        <w:adjustRightInd w:val="0"/>
        <w:snapToGrid w:val="0"/>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（4）</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复试</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考核内容：考核分为专业综合素质考核和攻读博士期间研究计划考核两部分，其中</w:t>
      </w:r>
      <w:bookmarkStart w:id="4" w:name="OLE_LINK1"/>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专业综合素质考核</w:t>
      </w:r>
      <w:bookmarkEnd w:id="4"/>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满分100分</w:t>
      </w:r>
      <w:bookmarkStart w:id="5" w:name="OLE_LINK2"/>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，外国语听说能力</w:t>
      </w:r>
      <w:bookmarkEnd w:id="5"/>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测试20分，攻读博士期间</w:t>
      </w:r>
      <w:bookmarkStart w:id="6" w:name="_GoBack"/>
      <w:bookmarkEnd w:id="6"/>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研究计划考核满分80分。时长：外国语听说能力测试</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不少于</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5分钟，其他内容</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不少于15</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分钟。综合考核任意一单项</w:t>
      </w:r>
      <w:r>
        <w:rPr>
          <w:rFonts w:hint="default" w:ascii="Times New Roman" w:hAnsi="Times New Roman" w:eastAsia="仿宋" w:cs="Times New Roman"/>
          <w:color w:val="000000" w:themeColor="text1"/>
          <w:sz w:val="30"/>
          <w:szCs w:val="30"/>
          <w:lang w:val="en-US" w:eastAsia="zh-CN"/>
          <w14:textFill>
            <w14:solidFill>
              <w14:schemeClr w14:val="tx1"/>
            </w14:solidFill>
          </w14:textFill>
        </w:rPr>
        <w:t>百分制60分</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以上为合格。</w:t>
      </w:r>
    </w:p>
    <w:p w14:paraId="45C7FBF5">
      <w:pPr>
        <w:pStyle w:val="9"/>
        <w:keepNext w:val="0"/>
        <w:keepLines w:val="0"/>
        <w:pageBreakBefore w:val="0"/>
        <w:kinsoku/>
        <w:overflowPunct/>
        <w:topLinePunct w:val="0"/>
        <w:autoSpaceDE/>
        <w:autoSpaceDN/>
        <w:bidi w:val="0"/>
        <w:adjustRightInd w:val="0"/>
        <w:snapToGrid w:val="0"/>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考核形式：考生用PPT展示本人学习、科研、攻读博士期间研究计划等相关内容，时间10分钟以内。之后回答专家提问。</w:t>
      </w:r>
    </w:p>
    <w:p w14:paraId="37261DB4">
      <w:pPr>
        <w:keepNext w:val="0"/>
        <w:keepLines w:val="0"/>
        <w:pageBreakBefore w:val="0"/>
        <w:widowControl/>
        <w:numPr>
          <w:ilvl w:val="0"/>
          <w:numId w:val="0"/>
        </w:numPr>
        <w:suppressLineNumbers w:val="0"/>
        <w:shd w:val="clear" w:fill="FFFFFF"/>
        <w:kinsoku/>
        <w:wordWrap w:val="0"/>
        <w:overflowPunct/>
        <w:topLinePunct w:val="0"/>
        <w:autoSpaceDE/>
        <w:autoSpaceDN/>
        <w:bidi w:val="0"/>
        <w:spacing w:before="0" w:beforeAutospacing="0" w:after="0" w:afterAutospacing="0" w:line="360" w:lineRule="auto"/>
        <w:ind w:right="0" w:rightChars="0"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5）注意事项：考生在复试过程中不得暴露自己的身份信息；复试时需着装得体，禁止佩戴耳机、禁止使用具有通信、录音、录像等功能的电子通讯设备；考生任何时候不得以任何形式外泄复试内容，如发现私自将复试相关内容在网络、个人、群体之间传播，将追究其法律责任，并取消其录取资格。</w:t>
      </w:r>
    </w:p>
    <w:p w14:paraId="5B92AAFE">
      <w:pPr>
        <w:keepNext w:val="0"/>
        <w:keepLines w:val="0"/>
        <w:pageBreakBefore w:val="0"/>
        <w:widowControl/>
        <w:numPr>
          <w:ilvl w:val="0"/>
          <w:numId w:val="0"/>
        </w:numPr>
        <w:suppressLineNumbers w:val="0"/>
        <w:shd w:val="clear" w:fill="FFFFFF"/>
        <w:kinsoku/>
        <w:wordWrap w:val="0"/>
        <w:overflowPunct/>
        <w:topLinePunct w:val="0"/>
        <w:autoSpaceDE/>
        <w:autoSpaceDN/>
        <w:bidi w:val="0"/>
        <w:spacing w:before="0" w:beforeAutospacing="0" w:after="0" w:afterAutospacing="0" w:line="360" w:lineRule="auto"/>
        <w:ind w:right="0" w:rightChars="0" w:firstLine="600" w:firstLineChars="200"/>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（6）复试缴费：根据四川省相关文件，复试考生按120元/生的标准缴纳复试费，加试考生另按80元/生的标准缴纳加试费。</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4月27日9:00起</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关注四川师范大学计划财务处微信公众号，点击“服务大厅”，选择“网上缴费”，在“用户名”输入考生编号（准考证上可查看考生编号），在“初始密码”输入“</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BS</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@考生编号后6位”（例</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BS</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9</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99999），按要求修改密码后缴费。</w:t>
      </w:r>
    </w:p>
    <w:p w14:paraId="649F8375">
      <w:pPr>
        <w:keepNext w:val="0"/>
        <w:keepLines w:val="0"/>
        <w:pageBreakBefore w:val="0"/>
        <w:numPr>
          <w:ilvl w:val="0"/>
          <w:numId w:val="0"/>
        </w:numPr>
        <w:kinsoku/>
        <w:overflowPunct/>
        <w:topLinePunct w:val="0"/>
        <w:autoSpaceDE/>
        <w:autoSpaceDN/>
        <w:bidi w:val="0"/>
        <w:spacing w:beforeAutospacing="0" w:afterAutospacing="0" w:line="360" w:lineRule="auto"/>
        <w:ind w:firstLine="602" w:firstLineChars="200"/>
        <w:jc w:val="both"/>
        <w:textAlignment w:val="auto"/>
        <w:rPr>
          <w:rFonts w:hint="default" w:ascii="Times New Roman" w:hAnsi="Times New Roman" w:eastAsia="仿宋"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b/>
          <w:bCs/>
          <w:color w:val="000000" w:themeColor="text1"/>
          <w:sz w:val="30"/>
          <w:szCs w:val="30"/>
          <w:lang w:val="en-US" w:eastAsia="zh-CN"/>
          <w14:textFill>
            <w14:solidFill>
              <w14:schemeClr w14:val="tx1"/>
            </w14:solidFill>
          </w14:textFill>
        </w:rPr>
        <w:t>三、其他事项</w:t>
      </w:r>
    </w:p>
    <w:p w14:paraId="11A233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（一）成绩查询及复核：详见研究生院或学院网站后期通知。</w:t>
      </w:r>
    </w:p>
    <w:p w14:paraId="2F7B22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（二）监督举报电话或地址：研究生招生办公室028-84760693，四川省成都市锦江区静安路5号，邮编610068，</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fldChar w:fldCharType="begin"/>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instrText xml:space="preserve"> HYPERLINK "mailto:电子邮箱2563408015@qq.com" </w:instrTex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fldChar w:fldCharType="separate"/>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电子邮箱csyz@sicnu</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fldChar w:fldCharType="end"/>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.edu.cn；学校纪委办公室监督举报电话028-84760624；学院咨询电话：028-84481556；学院投诉电话：028-84480790。</w:t>
      </w:r>
    </w:p>
    <w:p w14:paraId="25359847">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auto"/>
        <w:ind w:right="150" w:firstLine="56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其他未尽事宜将陆续公布，请关注四川师范大学研究生院通知与四川师范大学物理与电子工程学院主页博士招生专栏的通知，并保持预留的手机畅通，及时查看短信/微信/邮箱。</w:t>
      </w:r>
    </w:p>
    <w:p w14:paraId="4F2DCEF7">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auto"/>
        <w:ind w:right="150" w:firstLine="56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p>
    <w:p w14:paraId="5565DAC1">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auto"/>
        <w:ind w:right="150" w:firstLine="56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p>
    <w:p w14:paraId="04AEAD2F">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auto"/>
        <w:ind w:left="150" w:right="585" w:firstLine="560"/>
        <w:jc w:val="both"/>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p>
    <w:p w14:paraId="23783BF7">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auto"/>
        <w:ind w:left="1650" w:right="150" w:firstLine="560"/>
        <w:jc w:val="right"/>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  物理与电子工程学院研究生招生工作小组</w:t>
      </w:r>
    </w:p>
    <w:p w14:paraId="070E2729">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360" w:lineRule="auto"/>
        <w:ind w:left="1650" w:right="150" w:firstLine="562"/>
        <w:jc w:val="right"/>
        <w:textAlignment w:val="auto"/>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202</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6</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 xml:space="preserve">年4月 </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15</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日</w:t>
      </w:r>
    </w:p>
    <w:p w14:paraId="3C0A4E00">
      <w:pPr>
        <w:keepNext w:val="0"/>
        <w:keepLines w:val="0"/>
        <w:pageBreakBefore w:val="0"/>
        <w:numPr>
          <w:ilvl w:val="0"/>
          <w:numId w:val="0"/>
        </w:numPr>
        <w:kinsoku/>
        <w:overflowPunct/>
        <w:topLinePunct w:val="0"/>
        <w:autoSpaceDE/>
        <w:autoSpaceDN/>
        <w:bidi w:val="0"/>
        <w:spacing w:beforeAutospacing="0" w:afterAutospacing="0" w:line="360" w:lineRule="auto"/>
        <w:jc w:val="both"/>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p>
    <w:p w14:paraId="01613429">
      <w:pPr>
        <w:keepNext w:val="0"/>
        <w:keepLines w:val="0"/>
        <w:pageBreakBefore w:val="0"/>
        <w:kinsoku/>
        <w:overflowPunct/>
        <w:topLinePunct w:val="0"/>
        <w:autoSpaceDE/>
        <w:autoSpaceDN/>
        <w:bidi w:val="0"/>
        <w:spacing w:beforeAutospacing="0" w:afterAutospacing="0" w:line="360" w:lineRule="auto"/>
        <w:jc w:val="both"/>
        <w:textAlignment w:val="auto"/>
        <w:rPr>
          <w:rFonts w:hint="default" w:ascii="Times New Roman" w:hAnsi="Times New Roman" w:eastAsia="仿宋"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4C4AB00E-2517-4B53-9E80-3C07935ABB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F3841"/>
    <w:multiLevelType w:val="singleLevel"/>
    <w:tmpl w:val="998F3841"/>
    <w:lvl w:ilvl="0" w:tentative="0">
      <w:start w:val="1"/>
      <w:numFmt w:val="decimal"/>
      <w:lvlText w:val="%1."/>
      <w:lvlJc w:val="left"/>
      <w:pPr>
        <w:tabs>
          <w:tab w:val="left" w:pos="312"/>
        </w:tabs>
      </w:pPr>
    </w:lvl>
  </w:abstractNum>
  <w:abstractNum w:abstractNumId="1">
    <w:nsid w:val="A1DCEB34"/>
    <w:multiLevelType w:val="singleLevel"/>
    <w:tmpl w:val="A1DCEB34"/>
    <w:lvl w:ilvl="0" w:tentative="0">
      <w:start w:val="1"/>
      <w:numFmt w:val="decimal"/>
      <w:lvlText w:val="%1."/>
      <w:lvlJc w:val="left"/>
      <w:pPr>
        <w:tabs>
          <w:tab w:val="left" w:pos="312"/>
        </w:tabs>
      </w:pPr>
    </w:lvl>
  </w:abstractNum>
  <w:abstractNum w:abstractNumId="2">
    <w:nsid w:val="F364B0CD"/>
    <w:multiLevelType w:val="singleLevel"/>
    <w:tmpl w:val="F364B0CD"/>
    <w:lvl w:ilvl="0" w:tentative="0">
      <w:start w:val="1"/>
      <w:numFmt w:val="chineseCounting"/>
      <w:suff w:val="nothing"/>
      <w:lvlText w:val="（%1）"/>
      <w:lvlJc w:val="left"/>
      <w:rPr>
        <w:rFonts w:hint="eastAsia"/>
      </w:rPr>
    </w:lvl>
  </w:abstractNum>
  <w:abstractNum w:abstractNumId="3">
    <w:nsid w:val="1C6875D5"/>
    <w:multiLevelType w:val="singleLevel"/>
    <w:tmpl w:val="1C6875D5"/>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759D"/>
    <w:rsid w:val="0A0E6D8F"/>
    <w:rsid w:val="0B2A4006"/>
    <w:rsid w:val="0CC11555"/>
    <w:rsid w:val="12907582"/>
    <w:rsid w:val="19963C52"/>
    <w:rsid w:val="19A27A9C"/>
    <w:rsid w:val="2072486A"/>
    <w:rsid w:val="21867D98"/>
    <w:rsid w:val="24E026BE"/>
    <w:rsid w:val="283726CA"/>
    <w:rsid w:val="290C546F"/>
    <w:rsid w:val="2AD8433E"/>
    <w:rsid w:val="2BC677CF"/>
    <w:rsid w:val="374A54CE"/>
    <w:rsid w:val="3D633DB8"/>
    <w:rsid w:val="3FBE41CD"/>
    <w:rsid w:val="44376845"/>
    <w:rsid w:val="48EC5B24"/>
    <w:rsid w:val="581902B2"/>
    <w:rsid w:val="647E516F"/>
    <w:rsid w:val="658F1491"/>
    <w:rsid w:val="663F7B5D"/>
    <w:rsid w:val="6A88688D"/>
    <w:rsid w:val="6AAB3D5F"/>
    <w:rsid w:val="704F69EA"/>
    <w:rsid w:val="719F6BE2"/>
    <w:rsid w:val="75343799"/>
    <w:rsid w:val="76E07C53"/>
    <w:rsid w:val="78312C7C"/>
    <w:rsid w:val="7C42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无间隔1"/>
    <w:qFormat/>
    <w:uiPriority w:val="0"/>
    <w:pPr>
      <w:widowControl w:val="0"/>
      <w:jc w:val="both"/>
    </w:pPr>
    <w:rPr>
      <w:rFonts w:ascii="Cambria" w:hAnsi="Cambri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1227</Words>
  <Characters>1352</Characters>
  <Lines>0</Lines>
  <Paragraphs>0</Paragraphs>
  <TotalTime>4</TotalTime>
  <ScaleCrop>false</ScaleCrop>
  <LinksUpToDate>false</LinksUpToDate>
  <CharactersWithSpaces>1355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2025-04-18T03:55:00Z</dcterms:created>
  <dc:creator>LiJuan</dc:creator>
  <cp:lastModifiedBy>wodeguo</cp:lastModifiedBy>
  <dcterms:modified xsi:type="dcterms:W3CDTF">2026-04-15T09:26:53Z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eyJoZGlkIjoiNzk2OTBkN2ZjYjAwODYwYzVmYTM2YzY0MGQ5MjE5ZTAiLCJ1c2VySWQiOiI5ODczNDIwOTgifQ==</vt:lpwstr>
  </property>
  <property fmtid="{D5CDD505-2E9C-101B-9397-08002B2CF9AE}" pid="4" name="ICV">
    <vt:lpwstr>98D99317FC9145FAA456E679C3474F43_13</vt:lpwstr>
  </property>
</Properties>
</file>