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spacing w:val="-6"/>
          <w:sz w:val="32"/>
          <w:szCs w:val="32"/>
          <w:lang w:val="en-US" w:eastAsia="zh-Hans"/>
        </w:rPr>
      </w:pPr>
      <w:r>
        <w:rPr>
          <w:rFonts w:hint="eastAsia" w:ascii="微软雅黑" w:hAnsi="微软雅黑" w:eastAsia="微软雅黑" w:cs="微软雅黑"/>
          <w:spacing w:val="-6"/>
          <w:sz w:val="32"/>
          <w:szCs w:val="32"/>
          <w:lang w:val="en-US" w:eastAsia="zh-Hans"/>
        </w:rPr>
        <w:t xml:space="preserve">医学人工智能与大数据学院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pacing w:val="-6"/>
          <w:sz w:val="28"/>
          <w:szCs w:val="28"/>
          <w:lang w:val="en-US" w:eastAsia="zh-Hans"/>
        </w:rPr>
      </w:pPr>
      <w:r>
        <w:rPr>
          <w:rFonts w:hint="eastAsia" w:ascii="微软雅黑" w:hAnsi="微软雅黑" w:eastAsia="微软雅黑" w:cs="微软雅黑"/>
          <w:spacing w:val="-6"/>
          <w:sz w:val="32"/>
          <w:szCs w:val="32"/>
          <w:lang w:val="en-US" w:eastAsia="zh-Hans"/>
        </w:rPr>
        <w:t>202</w:t>
      </w:r>
      <w:r>
        <w:rPr>
          <w:rFonts w:hint="eastAsia" w:ascii="微软雅黑" w:hAnsi="微软雅黑" w:eastAsia="微软雅黑" w:cs="微软雅黑"/>
          <w:spacing w:val="-6"/>
          <w:sz w:val="32"/>
          <w:szCs w:val="32"/>
          <w:lang w:eastAsia="zh-Hans"/>
        </w:rPr>
        <w:t>3</w:t>
      </w:r>
      <w:r>
        <w:rPr>
          <w:rFonts w:hint="eastAsia" w:ascii="微软雅黑" w:hAnsi="微软雅黑" w:eastAsia="微软雅黑" w:cs="微软雅黑"/>
          <w:spacing w:val="-6"/>
          <w:sz w:val="32"/>
          <w:szCs w:val="32"/>
          <w:lang w:val="en-US" w:eastAsia="zh-Hans"/>
        </w:rPr>
        <w:t>年博士研究生招生录取工作实施细则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为切实做好202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年博士研究生招生录取工作，根据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山东第一医科大学（山东省医学科学院）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《202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年博士研究生招生简章》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《202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年博士研究生招生录取工作方案》等要求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，结合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实际，特制定本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实施细则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组织领导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（一）成立由学院主要负责人任组长的研究生招生录取工作领导小组，负责本单位研究生招生录取工作。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主要职责：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对相关人员进行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有关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招生录取政策、纪律、程序等的教育培训，组织对考生的考核，提出拟录取考生名单，公开有关信息等。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（二）成立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学院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研究生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招生录取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工作监督小组，负责对学院招生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录取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工作责任落实、工作制度、组织实施、信息公开等进行督导检查，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公示期间受理并及时妥善处理考生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有关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申诉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 w:bidi="ar-SA"/>
        </w:rPr>
        <w:t>，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加强对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招生录取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全过程的监管。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（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三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）成立学院博士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研究生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招生录取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专家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小组，由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 w:bidi="ar-SA"/>
        </w:rPr>
        <w:t>5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名以上博士生导师或相关专业副高级职称及以上人员（其中博导不少于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 w:bidi="ar-SA"/>
        </w:rPr>
        <w:t>3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位）组成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。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负责材料审核、试题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命制、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试卷评阅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 w:bidi="ar-SA"/>
        </w:rPr>
        <w:t>、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综合素质考核等专项工作。专家小组配备秘书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Hans" w:bidi="ar-SA"/>
        </w:rPr>
        <w:t>人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，负责考务组织、记录审查及考核情况、完成身份验证、操作考核系统、协调工作进度等相关事宜。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（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四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）成立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研究生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招生录取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工作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保障小组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负责招生录取期间的考核场所保障、网络带宽保障、考核设备用电保障、工作人员进出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管控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等工作，确保人员和场所安全。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、招生方式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及招生计划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highlight w:val="none"/>
          <w:lang w:eastAsia="zh-Han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学院本次博士招生采用“申请-考核制”方式择优选拔录取。剩余招生计划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 w:bidi="ar-SA"/>
        </w:rPr>
        <w:t>2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人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 w:bidi="ar-SA"/>
        </w:rPr>
        <w:t>，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highlight w:val="none"/>
          <w:lang w:val="en-US" w:eastAsia="zh-Hans" w:bidi="ar-SA"/>
        </w:rPr>
        <w:t>招生专业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highlight w:val="none"/>
          <w:lang w:eastAsia="zh-Hans" w:bidi="ar-SA"/>
        </w:rPr>
        <w:t>、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highlight w:val="none"/>
          <w:lang w:val="en-US" w:eastAsia="zh-Hans" w:bidi="ar-SA"/>
        </w:rPr>
        <w:t>导师及人数依据生源情况进行适当调整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highlight w:val="none"/>
          <w:lang w:eastAsia="zh-Hans" w:bidi="ar-SA"/>
        </w:rPr>
        <w:t>。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highlight w:val="none"/>
          <w:lang w:eastAsia="zh-Hans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highlight w:val="none"/>
          <w:lang w:eastAsia="zh-Hans" w:bidi="ar-SA"/>
        </w:rPr>
        <w:br w:type="page"/>
      </w:r>
    </w:p>
    <w:tbl>
      <w:tblPr>
        <w:tblStyle w:val="6"/>
        <w:tblpPr w:leftFromText="180" w:rightFromText="180" w:vertAnchor="text" w:horzAnchor="page" w:tblpX="2158" w:tblpY="2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868"/>
        <w:gridCol w:w="2217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专业代码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专业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招生导师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招生人数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100208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临床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Hans" w:bidi="ar-SA"/>
              </w:rPr>
              <w:t>检验诊断学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于长斌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1002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Hans" w:bidi="ar-SA"/>
              </w:rPr>
              <w:t>Z2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Hans" w:bidi="ar-SA"/>
              </w:rPr>
              <w:t>临床流行病学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Hans" w:bidi="ar-SA"/>
              </w:rPr>
              <w:t>孙亮、常啸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</w:tbl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63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招生类别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  <w:lang w:eastAsia="zh-Han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学院只招收“非定向”考生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 w:bidi="ar-SA"/>
        </w:rPr>
        <w:t>。非定向就业博士生按本人与用人单位双向选择的办法就业，其人事档案须在规定时间内转入我校。</w:t>
      </w:r>
    </w:p>
    <w:p>
      <w:pPr>
        <w:pStyle w:val="4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63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报考条件及报考程序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请查阅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《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山东第一医科大学（山东省医学科学院）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2023年博士研究生招生简章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》。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材料审核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eastAsia="zh-Hans" w:bidi="ar-SA"/>
        </w:rPr>
        <w:t>5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Hans" w:bidi="ar-SA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eastAsia="zh-Hans" w:bidi="ar-SA"/>
        </w:rPr>
        <w:t>15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Hans" w:bidi="ar-SA"/>
        </w:rPr>
        <w:t>日起学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院专家小组对报名考生的申请材料进行审核，并根据考生的学习经历、学习成绩、科研（实践）经历、科研（实践）成果、获奖情况、科研设想、专家推荐意见、发展潜质等进行评价赋分。专家小组成员现场独立评分，对审核结果负责。评分记录由秘书集中统一保管，任何人不得改动。评分过程全程录音录像。根据材料审核情况确定进入考核的人员名单，参加考核人数视生源情况决定（原则上控制在在招生计划的300%以内），进入考核人员名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单由学院公示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并通知考生。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单位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考核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Han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Hans" w:bidi="ar-SA"/>
        </w:rPr>
        <w:t>1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eastAsia="zh-Hans" w:bidi="ar-SA"/>
        </w:rPr>
        <w:t>.5月22日-5月23日安排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Hans" w:bidi="ar-SA"/>
        </w:rPr>
        <w:t>线下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eastAsia="zh-Hans" w:bidi="ar-SA"/>
        </w:rPr>
        <w:t>考核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 w:bidi="ar-SA"/>
        </w:rPr>
        <w:t>，具体时间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另行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通知到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入围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考生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 w:bidi="ar-SA"/>
        </w:rPr>
        <w:t>。考生如因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不可抗力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 w:bidi="ar-SA"/>
        </w:rPr>
        <w:t>原因不能来济参加的，应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及时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 w:bidi="ar-SA"/>
        </w:rPr>
        <w:t>书面申请采用远程网络方式进行考核。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eastAsia="zh-Hans" w:bidi="ar-SA"/>
        </w:rPr>
        <w:t>2.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Hans" w:bidi="ar-SA"/>
        </w:rPr>
        <w:t>考核内容包括外国语、专业课及综合素质考核，每项满分 100 分。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其中，外国语、专业课考核方式采用笔试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Hans" w:bidi="ar-SA"/>
        </w:rPr>
        <w:t>，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笔试时间不少于 45 分钟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Hans" w:bidi="ar-SA"/>
        </w:rPr>
        <w:t>；综合素质考核采用口试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，重点考核考生综合运用所学知识的能力、本学科前沿知识及是否具备博士研究生培养的潜能和综合素质，含外国语听力和口语测试20分、专业素养测试80分（专业素养测试要求考生准备10分钟PPT汇报，汇报内容包括:①个人简介、科研经历和成果介绍；②拟从事研究领域前沿进展；③拟开展的研究工作设想等。）；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每生考核时长不少于 20分钟。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对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综合素质考核不合格（综合素质考核成绩低于 60 分）者，不予录取。考核全程录音录像。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CN" w:bidi="ar-SA"/>
        </w:rPr>
        <w:t>3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.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录取成绩由材料审核成绩、外语水平考核、专业课考核成绩、综合素质考核成绩四部分组成。成绩均折算成百分制，计算出录取成绩。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录取成绩=材料审核成绩*10%+（外语水平+专业课考核）/2*30%+综合素质考核*60%。综合素质成绩低于60分者不予录取。考生成绩排序原则同录取原则。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0" w:leftChars="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  <w:t>六、录取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（一）学院根据招生计划，综合考生申请材料审查、考核成绩，以及思想政治素质和品德考核结果等做出综合判断，按照“全面衡量、择优录取、保证质量、宁缺毋滥”的原则确定拟录取名单，报学校研究生部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审核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eastAsia="zh-Han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（二）拟录取名单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经学校招生领导小组审批后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公示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，公示时间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不少于10个工作日。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 w:bidi="ar-SA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（三）被录取新生的入学资格只在当学年有效。拟录取考生如选择就业或报考其他高校，将按考生成绩排序补录其他考生。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、本细则未尽事宜以学校相关通知为准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62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八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Hans" w:bidi="ar-SA"/>
        </w:rPr>
        <w:t>、联系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方式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6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eastAsia="zh-Hans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Hans" w:bidi="ar-SA"/>
        </w:rPr>
        <w:t>联系人：李老师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eastAsia="zh-Hans" w:bidi="ar-SA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6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eastAsia="zh-Hans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Hans" w:bidi="ar-SA"/>
        </w:rPr>
        <w:t>联系电话：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eastAsia="zh-Hans" w:bidi="ar-SA"/>
        </w:rPr>
        <w:t>0531-59567552/18030250071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6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Hans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Hans" w:bidi="ar-SA"/>
        </w:rPr>
        <w:t>联系邮箱：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Hans" w:bidi="ar-SA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Hans" w:bidi="ar-SA"/>
        </w:rPr>
        <w:instrText xml:space="preserve"> HYPERLINK "mailto:aims@sdfmu.edu.cn" </w:instrTex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Hans" w:bidi="ar-SA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Hans" w:bidi="ar-SA"/>
        </w:rPr>
        <w:t>lixin@sdfmu.edu.cn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Hans" w:bidi="ar-SA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1587" w:firstLineChars="567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2707" w:firstLineChars="967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医学人工智能与大数据学院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1587" w:firstLineChars="567"/>
        <w:jc w:val="righ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 xml:space="preserve">            202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eastAsia="zh-CN" w:bidi="ar-SA"/>
        </w:rPr>
        <w:t>3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年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eastAsia="zh-CN" w:bidi="ar-SA"/>
        </w:rPr>
        <w:t>4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eastAsia="zh-CN" w:bidi="ar-SA"/>
        </w:rPr>
        <w:t>25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 xml:space="preserve">日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2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Hans" w:bidi="ar-SA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</w:p>
    <w:sectPr>
      <w:footerReference r:id="rId3" w:type="default"/>
      <w:pgSz w:w="11906" w:h="16838"/>
      <w:pgMar w:top="1417" w:right="1417" w:bottom="1440" w:left="1417" w:header="851" w:footer="1417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CAC55E"/>
    <w:multiLevelType w:val="singleLevel"/>
    <w:tmpl w:val="FBCAC55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YjFhZjlkZTQ0ODlhNjhlMzk2YWUzMTA3NTY3MGUifQ=="/>
  </w:docVars>
  <w:rsids>
    <w:rsidRoot w:val="34FFDDE5"/>
    <w:rsid w:val="064533B7"/>
    <w:rsid w:val="0DFC774A"/>
    <w:rsid w:val="11B32E88"/>
    <w:rsid w:val="13B628D6"/>
    <w:rsid w:val="13C22680"/>
    <w:rsid w:val="14622981"/>
    <w:rsid w:val="15BB2C91"/>
    <w:rsid w:val="178722F4"/>
    <w:rsid w:val="1BFF9A87"/>
    <w:rsid w:val="1F5D535E"/>
    <w:rsid w:val="1FDF75B2"/>
    <w:rsid w:val="2173599E"/>
    <w:rsid w:val="28124BDD"/>
    <w:rsid w:val="29396E71"/>
    <w:rsid w:val="32F14523"/>
    <w:rsid w:val="33820BC2"/>
    <w:rsid w:val="34FFDDE5"/>
    <w:rsid w:val="370135D7"/>
    <w:rsid w:val="37F752D5"/>
    <w:rsid w:val="3CE3C7A5"/>
    <w:rsid w:val="3CE67C9E"/>
    <w:rsid w:val="3D810DFD"/>
    <w:rsid w:val="3E1FFA04"/>
    <w:rsid w:val="3EE39565"/>
    <w:rsid w:val="3FB71ECD"/>
    <w:rsid w:val="40B20755"/>
    <w:rsid w:val="488C6E00"/>
    <w:rsid w:val="4A55A8DD"/>
    <w:rsid w:val="4B404992"/>
    <w:rsid w:val="4F1A55F5"/>
    <w:rsid w:val="4F7F156E"/>
    <w:rsid w:val="5246790F"/>
    <w:rsid w:val="5B2061A2"/>
    <w:rsid w:val="5BF7A025"/>
    <w:rsid w:val="5E577C9D"/>
    <w:rsid w:val="5EDC707D"/>
    <w:rsid w:val="5F3BBC72"/>
    <w:rsid w:val="63396ECA"/>
    <w:rsid w:val="639318CD"/>
    <w:rsid w:val="644A06DF"/>
    <w:rsid w:val="64F76F8E"/>
    <w:rsid w:val="677F5FA1"/>
    <w:rsid w:val="696BCB86"/>
    <w:rsid w:val="6BFFEED3"/>
    <w:rsid w:val="6FCF7454"/>
    <w:rsid w:val="6FFBCB8C"/>
    <w:rsid w:val="7262855A"/>
    <w:rsid w:val="73BC6CDE"/>
    <w:rsid w:val="73F3D6FB"/>
    <w:rsid w:val="755931DC"/>
    <w:rsid w:val="75EE59EE"/>
    <w:rsid w:val="75FF47CD"/>
    <w:rsid w:val="76E9ECF7"/>
    <w:rsid w:val="79CC9033"/>
    <w:rsid w:val="79FF4BE8"/>
    <w:rsid w:val="7B104EDC"/>
    <w:rsid w:val="7BBC66ED"/>
    <w:rsid w:val="7BFF982F"/>
    <w:rsid w:val="7C52638D"/>
    <w:rsid w:val="7D79F75A"/>
    <w:rsid w:val="7DA170A2"/>
    <w:rsid w:val="7E69FC80"/>
    <w:rsid w:val="7F5DED9B"/>
    <w:rsid w:val="7F7B89D1"/>
    <w:rsid w:val="7F7EDCAD"/>
    <w:rsid w:val="7FE7BA2F"/>
    <w:rsid w:val="7FFADD2E"/>
    <w:rsid w:val="7FFDAA01"/>
    <w:rsid w:val="7FFDBFB6"/>
    <w:rsid w:val="87D9B89A"/>
    <w:rsid w:val="9FBD068B"/>
    <w:rsid w:val="AFDED7B5"/>
    <w:rsid w:val="B3FF60A4"/>
    <w:rsid w:val="B79EF472"/>
    <w:rsid w:val="B7E5AEDF"/>
    <w:rsid w:val="B9CD73DC"/>
    <w:rsid w:val="BD7B881F"/>
    <w:rsid w:val="BFDFB900"/>
    <w:rsid w:val="CA4D853E"/>
    <w:rsid w:val="DD7F5C67"/>
    <w:rsid w:val="DDF18AB1"/>
    <w:rsid w:val="DE6FF061"/>
    <w:rsid w:val="DF36E6B1"/>
    <w:rsid w:val="E1FF071C"/>
    <w:rsid w:val="EA3DC26A"/>
    <w:rsid w:val="EDBFAE1C"/>
    <w:rsid w:val="EF7C714E"/>
    <w:rsid w:val="F36FA722"/>
    <w:rsid w:val="F3D33843"/>
    <w:rsid w:val="F6FF8C18"/>
    <w:rsid w:val="F7F39B6C"/>
    <w:rsid w:val="F7F7671C"/>
    <w:rsid w:val="F8EF6ABE"/>
    <w:rsid w:val="FA3ACC22"/>
    <w:rsid w:val="FAF051F4"/>
    <w:rsid w:val="FBFF436A"/>
    <w:rsid w:val="FDDFD836"/>
    <w:rsid w:val="FEF77CCA"/>
    <w:rsid w:val="FEFB7E9F"/>
    <w:rsid w:val="FF7DC389"/>
    <w:rsid w:val="FFACD563"/>
    <w:rsid w:val="FFBE7021"/>
    <w:rsid w:val="FFFBD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1683</Words>
  <Characters>1789</Characters>
  <Lines>0</Lines>
  <Paragraphs>0</Paragraphs>
  <TotalTime>2</TotalTime>
  <ScaleCrop>false</ScaleCrop>
  <LinksUpToDate>false</LinksUpToDate>
  <CharactersWithSpaces>1820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2022-05-16T20:53:00Z</dcterms:created>
  <dc:creator>lixin</dc:creator>
  <cp:lastModifiedBy>西子妈咪</cp:lastModifiedBy>
  <dcterms:modified xsi:type="dcterms:W3CDTF">2023-04-26T06:56:03Z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6D45AEA3B259424BAF4447D4FFE8E1D8_13</vt:lpwstr>
  </property>
</Properties>
</file>