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F0AD">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Style w:val="8"/>
          <w:rFonts w:ascii="华文仿宋" w:hAnsi="华文仿宋" w:eastAsia="华文仿宋" w:cs="华文仿宋"/>
          <w:b/>
          <w:bCs/>
          <w:i w:val="0"/>
          <w:iCs w:val="0"/>
          <w:caps w:val="0"/>
          <w:color w:val="333333"/>
          <w:spacing w:val="0"/>
          <w:sz w:val="31"/>
          <w:szCs w:val="31"/>
          <w:bdr w:val="single" w:color="DAE1E7" w:sz="2" w:space="0"/>
          <w:shd w:val="clear" w:fill="FFFFFF"/>
        </w:rPr>
        <w:t>法学院</w:t>
      </w:r>
      <w:r>
        <w:rPr>
          <w:rStyle w:val="8"/>
          <w:rFonts w:hint="eastAsia" w:ascii="华文仿宋" w:hAnsi="华文仿宋" w:eastAsia="华文仿宋" w:cs="华文仿宋"/>
          <w:b/>
          <w:bCs/>
          <w:i w:val="0"/>
          <w:iCs w:val="0"/>
          <w:caps w:val="0"/>
          <w:color w:val="333333"/>
          <w:spacing w:val="0"/>
          <w:sz w:val="31"/>
          <w:szCs w:val="31"/>
          <w:bdr w:val="single" w:color="DAE1E7" w:sz="2" w:space="0"/>
          <w:shd w:val="clear" w:fill="FFFFFF"/>
        </w:rPr>
        <w:t>2025年博士研究生招生考试实施细则</w:t>
      </w:r>
    </w:p>
    <w:p w14:paraId="6E6A257B">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rPr>
          <w:sz w:val="24"/>
          <w:szCs w:val="24"/>
        </w:rPr>
      </w:pPr>
    </w:p>
    <w:p w14:paraId="623B843E">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2E2DA19E">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555" w:right="0"/>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一、组织管理</w:t>
      </w:r>
    </w:p>
    <w:p w14:paraId="50862BF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5C2A5D68">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二、招生方式、招生专业和招生计划</w:t>
      </w:r>
    </w:p>
    <w:p w14:paraId="3E5A5B7E">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（一）我院博士研究生招生方式为普通招考，均采用“申请-考核”进行选拔。</w:t>
      </w:r>
    </w:p>
    <w:p w14:paraId="48D647CA">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（二）招生专业及招生计划详见《西南财经大学2025年博士研究生招生专业目录》</w:t>
      </w:r>
      <w:r>
        <w:rPr>
          <w:rFonts w:hint="eastAsia" w:ascii="华文仿宋" w:hAnsi="华文仿宋" w:eastAsia="华文仿宋" w:cs="华文仿宋"/>
          <w:i w:val="0"/>
          <w:iCs w:val="0"/>
          <w:caps w:val="0"/>
          <w:color w:val="0072CF"/>
          <w:spacing w:val="0"/>
          <w:sz w:val="28"/>
          <w:szCs w:val="28"/>
          <w:u w:val="none"/>
          <w:bdr w:val="single" w:color="DAE1E7" w:sz="2" w:space="0"/>
          <w:shd w:val="clear" w:fill="FFFFFF"/>
        </w:rPr>
        <w:fldChar w:fldCharType="begin"/>
      </w:r>
      <w:r>
        <w:rPr>
          <w:rFonts w:hint="eastAsia" w:ascii="华文仿宋" w:hAnsi="华文仿宋" w:eastAsia="华文仿宋" w:cs="华文仿宋"/>
          <w:i w:val="0"/>
          <w:iCs w:val="0"/>
          <w:caps w:val="0"/>
          <w:color w:val="0072CF"/>
          <w:spacing w:val="0"/>
          <w:sz w:val="28"/>
          <w:szCs w:val="28"/>
          <w:u w:val="none"/>
          <w:bdr w:val="single" w:color="DAE1E7" w:sz="2" w:space="0"/>
          <w:shd w:val="clear" w:fill="FFFFFF"/>
        </w:rPr>
        <w:instrText xml:space="preserve"> HYPERLINK "https://yzcx.swufe.edu.cn/chaxun/yzb/bs/bs2025/2025bsml.htm" \o "博士专业目录" \t "https://lawschool.swufe.edu.cn/info/1048/_self" </w:instrText>
      </w:r>
      <w:r>
        <w:rPr>
          <w:rFonts w:hint="eastAsia" w:ascii="华文仿宋" w:hAnsi="华文仿宋" w:eastAsia="华文仿宋" w:cs="华文仿宋"/>
          <w:i w:val="0"/>
          <w:iCs w:val="0"/>
          <w:caps w:val="0"/>
          <w:color w:val="0072CF"/>
          <w:spacing w:val="0"/>
          <w:sz w:val="28"/>
          <w:szCs w:val="28"/>
          <w:u w:val="none"/>
          <w:bdr w:val="single" w:color="DAE1E7" w:sz="2" w:space="0"/>
          <w:shd w:val="clear" w:fill="FFFFFF"/>
        </w:rPr>
        <w:fldChar w:fldCharType="separate"/>
      </w:r>
      <w:r>
        <w:rPr>
          <w:rStyle w:val="9"/>
          <w:rFonts w:hint="eastAsia" w:ascii="华文仿宋" w:hAnsi="华文仿宋" w:eastAsia="华文仿宋" w:cs="华文仿宋"/>
          <w:i w:val="0"/>
          <w:iCs w:val="0"/>
          <w:caps w:val="0"/>
          <w:color w:val="0072CF"/>
          <w:spacing w:val="0"/>
          <w:sz w:val="28"/>
          <w:szCs w:val="28"/>
          <w:u w:val="none"/>
          <w:bdr w:val="single" w:color="DAE1E7" w:sz="2" w:space="0"/>
          <w:shd w:val="clear" w:fill="FFFFFF"/>
        </w:rPr>
        <w:t>https://yzcx.swufe.edu.cn/chaxun/yzb/bs/bs2025/2025bsml.htm</w:t>
      </w:r>
      <w:r>
        <w:rPr>
          <w:rFonts w:hint="eastAsia" w:ascii="华文仿宋" w:hAnsi="华文仿宋" w:eastAsia="华文仿宋" w:cs="华文仿宋"/>
          <w:i w:val="0"/>
          <w:iCs w:val="0"/>
          <w:caps w:val="0"/>
          <w:color w:val="0072CF"/>
          <w:spacing w:val="0"/>
          <w:sz w:val="28"/>
          <w:szCs w:val="28"/>
          <w:u w:val="none"/>
          <w:bdr w:val="single" w:color="DAE1E7" w:sz="2" w:space="0"/>
          <w:shd w:val="clear" w:fill="FFFFFF"/>
        </w:rPr>
        <w:fldChar w:fldCharType="end"/>
      </w:r>
    </w:p>
    <w:p w14:paraId="799F15C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ascii="仿宋" w:hAnsi="仿宋" w:eastAsia="仿宋" w:cs="仿宋"/>
          <w:b/>
          <w:bCs/>
          <w:i w:val="0"/>
          <w:iCs w:val="0"/>
          <w:caps w:val="0"/>
          <w:color w:val="333333"/>
          <w:spacing w:val="0"/>
          <w:sz w:val="28"/>
          <w:szCs w:val="28"/>
          <w:bdr w:val="single" w:color="DAE1E7" w:sz="2" w:space="0"/>
          <w:shd w:val="clear" w:fill="FFFFFF"/>
        </w:rPr>
        <w:t>说明：</w:t>
      </w:r>
    </w:p>
    <w:p w14:paraId="673BC5A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仿宋" w:hAnsi="仿宋" w:eastAsia="仿宋" w:cs="仿宋"/>
          <w:i w:val="0"/>
          <w:iCs w:val="0"/>
          <w:caps w:val="0"/>
          <w:color w:val="333333"/>
          <w:spacing w:val="0"/>
          <w:sz w:val="28"/>
          <w:szCs w:val="28"/>
          <w:bdr w:val="single" w:color="DAE1E7" w:sz="2" w:space="0"/>
          <w:shd w:val="clear" w:fill="FFFFFF"/>
        </w:rPr>
        <w:t>1.</w:t>
      </w:r>
      <w:r>
        <w:rPr>
          <w:rFonts w:hint="eastAsia" w:ascii="华文仿宋" w:hAnsi="华文仿宋" w:eastAsia="华文仿宋" w:cs="华文仿宋"/>
          <w:i w:val="0"/>
          <w:iCs w:val="0"/>
          <w:caps w:val="0"/>
          <w:color w:val="333333"/>
          <w:spacing w:val="0"/>
          <w:sz w:val="28"/>
          <w:szCs w:val="28"/>
          <w:bdr w:val="single" w:color="DAE1E7" w:sz="2" w:space="0"/>
          <w:shd w:val="clear" w:fill="FFFFFF"/>
        </w:rPr>
        <w:t>我院招收定向就业考生人数不超过2人。</w:t>
      </w:r>
    </w:p>
    <w:p w14:paraId="3D619DF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2.我院实际招生计划以学校最终下达为准，将适当根据生源情况对招生计划进行微调。</w:t>
      </w:r>
    </w:p>
    <w:p w14:paraId="05F3A68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三、申请条件</w:t>
      </w:r>
    </w:p>
    <w:p w14:paraId="57DD474A">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考生应符合以下报考条件:</w:t>
      </w:r>
    </w:p>
    <w:p w14:paraId="6F7748D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（一）中华人民共和国公民；</w:t>
      </w:r>
    </w:p>
    <w:p w14:paraId="3EAB4F7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（二）拥护中国共产党的领导，具有正确的政治方向，热爱祖国，愿意为建设社会主义现代化强国服务，遵纪守法，品行端正；</w:t>
      </w:r>
    </w:p>
    <w:p w14:paraId="0411CB16">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（三）身体健康状况符合国家规定的体检要求；</w:t>
      </w:r>
    </w:p>
    <w:p w14:paraId="2CA37202">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（四）</w:t>
      </w: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普通招考</w:t>
      </w:r>
      <w:r>
        <w:rPr>
          <w:rFonts w:hint="eastAsia" w:ascii="华文仿宋" w:hAnsi="华文仿宋" w:eastAsia="华文仿宋" w:cs="华文仿宋"/>
          <w:i w:val="0"/>
          <w:iCs w:val="0"/>
          <w:caps w:val="0"/>
          <w:color w:val="333333"/>
          <w:spacing w:val="0"/>
          <w:sz w:val="28"/>
          <w:szCs w:val="28"/>
          <w:bdr w:val="single" w:color="DAE1E7" w:sz="2" w:space="0"/>
          <w:shd w:val="clear" w:fill="FFFFFF"/>
        </w:rPr>
        <w:t>的考生，学历须符合下列条件之一：</w:t>
      </w:r>
    </w:p>
    <w:p w14:paraId="120A028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1.硕士研究生毕业或已获硕士学位；</w:t>
      </w:r>
    </w:p>
    <w:p w14:paraId="1AB10C8F">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2.应届硕士毕业生(最迟须在录取当年入学前毕业或取得硕士学位，国（境）外学生还须取得教育部留学服务中心出具的《国（境）外学历学位认证书》)；</w:t>
      </w:r>
    </w:p>
    <w:p w14:paraId="73B2786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69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3.报考法律经济学专业的考生，应有一个经济类或管理类学位。</w:t>
      </w:r>
    </w:p>
    <w:p w14:paraId="18A31792">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四、选拔程序</w:t>
      </w:r>
    </w:p>
    <w:p w14:paraId="671763B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（一）网上报名</w:t>
      </w:r>
    </w:p>
    <w:p w14:paraId="3C2EDC3F">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符合申请条件的考生须在规定时间内完成网上报名，网报前须获得报考导师的同意和推荐。</w:t>
      </w:r>
    </w:p>
    <w:p w14:paraId="32F3CED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学院组织专人对申请者的报考条件进行审查，经审查合格，则进入材料评议环节。</w:t>
      </w:r>
    </w:p>
    <w:p w14:paraId="111687D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b/>
          <w:bCs/>
          <w:i w:val="0"/>
          <w:iCs w:val="0"/>
          <w:caps w:val="0"/>
          <w:color w:val="333333"/>
          <w:spacing w:val="0"/>
          <w:sz w:val="28"/>
          <w:szCs w:val="28"/>
          <w:bdr w:val="single" w:color="DAE1E7" w:sz="2" w:space="0"/>
          <w:shd w:val="clear" w:fill="FFFFFF"/>
        </w:rPr>
        <w:t>（二）</w:t>
      </w: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提交材料</w:t>
      </w:r>
    </w:p>
    <w:p w14:paraId="466D9F0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7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网上报名成功后，请在规定时间内，将下述共1-12项材料按顺序进行整理（一式六份，其中五份材料须匿名提交，匿名材料见清单），并通过顺丰快递（仅限顺丰快递，请勿使用顺丰同城等其他邮寄方式；快递封面须写上“2025西财法学博士普通招考-考生姓名-报考博导姓名”）寄至“四川省成都市温江区柳台大道555号西南财经大学通博楼C322办公室，杨老师，028-87092273”。</w:t>
      </w:r>
    </w:p>
    <w:p w14:paraId="5214B603">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7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每份材料首页要求提供目录清单，材料请确保装订顺序一致，清单见附件。</w:t>
      </w:r>
    </w:p>
    <w:p w14:paraId="561283C4">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1、材料清单</w:t>
      </w:r>
    </w:p>
    <w:p w14:paraId="301DF9E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2、《西南财经大学攻读博士学位研究生报名登记表》。</w:t>
      </w:r>
    </w:p>
    <w:p w14:paraId="0D864BD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3、《专家推荐书》两份，推荐专家应具有报考专业相关的副教授及以上职称或相当职称，其中一份应由报考博导出具。</w:t>
      </w:r>
    </w:p>
    <w:p w14:paraId="2DFB5DD6">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4、身份证复印件一份。</w:t>
      </w:r>
    </w:p>
    <w:p w14:paraId="5EEC312D">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5、国内高校应届毕业生：学生证复印件一份、研究生阶段教育部学籍在线验证报告一份。</w:t>
      </w:r>
    </w:p>
    <w:p w14:paraId="7F94D6D4">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6、国（境）外高校应届毕业生：在录取前取得国（境）外硕士学位，并提交教育部留学服务中心出具的《国（境）外学历学位认证书》一份。</w:t>
      </w:r>
    </w:p>
    <w:p w14:paraId="262D6952">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3015D0E6">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7、硕士阶段课程学习成绩单一份（加盖研究生管理部门公章，需提供GPA成绩，并注明所在学校GPA满分分数）。</w:t>
      </w:r>
    </w:p>
    <w:p w14:paraId="51EA63D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8、《攻读博士学位研究生研究计划书》一份，须提供针对所报考专业的某一问题制定的详尽研究计划（包括选题依据，文献综述，研究内容尤其是重点、难点和创新点，拟采用的研究方法、技术路线，考核指标（成果）等内容，建议参考国家社科基金年度项目申报表）。</w:t>
      </w:r>
    </w:p>
    <w:p w14:paraId="7FC2BC6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9、代表性科研成果：</w:t>
      </w:r>
    </w:p>
    <w:p w14:paraId="5888F3F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6B51B7B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（2）专著：已公开出版的与报考学科相关的专著（仅限正式出版成果，以专著中所列作者为准），须提供专著复印件一份（仅需封面、版权页、前言、目录、封底）。</w:t>
      </w:r>
    </w:p>
    <w:p w14:paraId="4FAA1A6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（3）科研项目：与报考学科相关的科研课题（本人主持或主研省部级及以上项目，其他项目仅限本人主持），须提供立项证书或结项证书复印件一份。</w:t>
      </w:r>
    </w:p>
    <w:p w14:paraId="535DEF0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10、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6F236DC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11、硕士毕业论文一份（应届毕业硕士生须提供经硕士指导教师签字的开题报告全文、硕士论文摘要和大纲）。</w:t>
      </w:r>
    </w:p>
    <w:p w14:paraId="7D19EAD4">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12、获奖证书：包括科研获奖、非科研类获奖两种，分别为考生获得的国家级、省部级、校级或其他奖项之一，须提供科研获奖复印件一份和非科研类获奖复印件一份。</w:t>
      </w:r>
    </w:p>
    <w:p w14:paraId="087F117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555" w:right="0"/>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（三）材料评议</w:t>
      </w:r>
    </w:p>
    <w:p w14:paraId="4125D05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学院成立材料评议专家组。专家组成员不少于5人，由本学科副教授职称（含）或相当专业技术职务以上专家组成，其中博士生导师不少于3人。</w:t>
      </w:r>
    </w:p>
    <w:p w14:paraId="57B3412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材料评议对考生的学业表现、科研成果和培养潜质等情况进行独立量化打分。按照材料评议总分从高到低排序，择优确定进入学术潜质测试环节的考生名单。</w:t>
      </w:r>
    </w:p>
    <w:p w14:paraId="6AA70EF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（四）学术潜质测试</w:t>
      </w:r>
    </w:p>
    <w:p w14:paraId="010F394A">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普通招考考生须进行学术潜质测试。</w:t>
      </w:r>
    </w:p>
    <w:p w14:paraId="0D0D2703">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学术潜质测试由学校统一组织，对考生的逻辑思维能力、分析性写作和论证性写作进行考查。经测验达到合格标准的考生可进入综合考核环节。</w:t>
      </w:r>
    </w:p>
    <w:p w14:paraId="07163DC2">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（五）综合考核</w:t>
      </w:r>
    </w:p>
    <w:p w14:paraId="332A2E8D">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学院按照专业并结合考生人数，成立综合考核专家组。考核组成员不少于5人，由本学科副教授职称（含）或相当专业技术职务以上专家组成，其中博士生导师不少于3人。</w:t>
      </w:r>
    </w:p>
    <w:p w14:paraId="5FE2C8B8">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综合考核包括笔试、面试、思想政治素质与品德考核，考核时间及相关事项另行通知。</w:t>
      </w:r>
    </w:p>
    <w:p w14:paraId="1C75E072">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1、笔试：满分为100分。笔试内容为所报考二级学科（专业）基础理论（含法学一般性基础理论以及该二级学科重要规范和实践问题），主要考查考生对相关理论知识的掌握程度及运用能力。</w:t>
      </w:r>
    </w:p>
    <w:p w14:paraId="63ED233D">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rPr>
          <w:sz w:val="24"/>
          <w:szCs w:val="24"/>
        </w:rPr>
      </w:pPr>
    </w:p>
    <w:tbl>
      <w:tblPr>
        <w:tblW w:w="0" w:type="auto"/>
        <w:tblInd w:w="555" w:type="dxa"/>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3990"/>
        <w:gridCol w:w="3971"/>
      </w:tblGrid>
      <w:tr w14:paraId="2C30ECF9">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tblCellMar>
            <w:top w:w="15" w:type="dxa"/>
            <w:left w:w="15" w:type="dxa"/>
            <w:bottom w:w="15" w:type="dxa"/>
            <w:right w:w="15" w:type="dxa"/>
          </w:tblCellMar>
        </w:tblPrEx>
        <w:tc>
          <w:tcPr>
            <w:tcW w:w="41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20BBEB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Style w:val="8"/>
                <w:rFonts w:hint="eastAsia" w:ascii="华文仿宋" w:hAnsi="华文仿宋" w:eastAsia="华文仿宋" w:cs="华文仿宋"/>
                <w:b/>
                <w:bCs/>
                <w:color w:val="222222"/>
                <w:sz w:val="28"/>
                <w:szCs w:val="28"/>
                <w:bdr w:val="single" w:color="DAE1E7" w:sz="2" w:space="0"/>
              </w:rPr>
              <w:t>专业名称</w:t>
            </w:r>
          </w:p>
        </w:tc>
        <w:tc>
          <w:tcPr>
            <w:tcW w:w="41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B868B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Style w:val="8"/>
                <w:rFonts w:hint="eastAsia" w:ascii="华文仿宋" w:hAnsi="华文仿宋" w:eastAsia="华文仿宋" w:cs="华文仿宋"/>
                <w:b/>
                <w:bCs/>
                <w:color w:val="222222"/>
                <w:sz w:val="28"/>
                <w:szCs w:val="28"/>
                <w:bdr w:val="single" w:color="DAE1E7" w:sz="2" w:space="0"/>
              </w:rPr>
              <w:t>考试科目（或考试范围）</w:t>
            </w:r>
          </w:p>
        </w:tc>
      </w:tr>
      <w:tr w14:paraId="24E78C1D">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A6B722D">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ascii="微软雅黑" w:hAnsi="微软雅黑" w:eastAsia="微软雅黑" w:cs="微软雅黑"/>
                <w:color w:val="222222"/>
                <w:sz w:val="18"/>
                <w:szCs w:val="18"/>
                <w:bdr w:val="single" w:color="DAE1E7" w:sz="2" w:space="0"/>
              </w:rPr>
              <w:t>(030101)法学理论</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1190C93">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法学基础理论</w:t>
            </w:r>
          </w:p>
        </w:tc>
      </w:tr>
      <w:tr w14:paraId="7A480397">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0E28DD4">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hint="eastAsia" w:ascii="微软雅黑" w:hAnsi="微软雅黑" w:eastAsia="微软雅黑" w:cs="微软雅黑"/>
                <w:color w:val="222222"/>
                <w:sz w:val="18"/>
                <w:szCs w:val="18"/>
                <w:bdr w:val="single" w:color="DAE1E7" w:sz="2" w:space="0"/>
              </w:rPr>
              <w:t>(030104)刑法学</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9A8EF0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刑法学基础理论</w:t>
            </w:r>
          </w:p>
        </w:tc>
      </w:tr>
      <w:tr w14:paraId="7CC019EC">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D0B74C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hint="eastAsia" w:ascii="微软雅黑" w:hAnsi="微软雅黑" w:eastAsia="微软雅黑" w:cs="微软雅黑"/>
                <w:color w:val="222222"/>
                <w:sz w:val="18"/>
                <w:szCs w:val="18"/>
                <w:bdr w:val="single" w:color="DAE1E7" w:sz="2" w:space="0"/>
              </w:rPr>
              <w:t>(030105)民商法学</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CC292CA">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民商法学基础理论</w:t>
            </w:r>
          </w:p>
        </w:tc>
      </w:tr>
      <w:tr w14:paraId="32482F32">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9E88542">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hint="eastAsia" w:ascii="微软雅黑" w:hAnsi="微软雅黑" w:eastAsia="微软雅黑" w:cs="微软雅黑"/>
                <w:color w:val="222222"/>
                <w:sz w:val="18"/>
                <w:szCs w:val="18"/>
                <w:bdr w:val="single" w:color="DAE1E7" w:sz="2" w:space="0"/>
              </w:rPr>
              <w:t>(030106)诉讼法学</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89EA073">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诉讼法学基础理论</w:t>
            </w:r>
          </w:p>
        </w:tc>
      </w:tr>
      <w:tr w14:paraId="419D2ABE">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E2E35CE">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hint="eastAsia" w:ascii="微软雅黑" w:hAnsi="微软雅黑" w:eastAsia="微软雅黑" w:cs="微软雅黑"/>
                <w:color w:val="222222"/>
                <w:sz w:val="18"/>
                <w:szCs w:val="18"/>
                <w:bdr w:val="single" w:color="DAE1E7" w:sz="2" w:space="0"/>
              </w:rPr>
              <w:t>(030107)经济法学</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12925B">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经济法学基础理论</w:t>
            </w:r>
          </w:p>
        </w:tc>
      </w:tr>
      <w:tr w14:paraId="1FEEBFCF">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7540DA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hint="eastAsia" w:ascii="微软雅黑" w:hAnsi="微软雅黑" w:eastAsia="微软雅黑" w:cs="微软雅黑"/>
                <w:color w:val="222222"/>
                <w:sz w:val="18"/>
                <w:szCs w:val="18"/>
                <w:bdr w:val="single" w:color="DAE1E7" w:sz="2" w:space="0"/>
              </w:rPr>
              <w:t>(0301Z1)★金融法学</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D6D75BE">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金融法学基础理论</w:t>
            </w:r>
          </w:p>
        </w:tc>
      </w:tr>
      <w:tr w14:paraId="38CCB388">
        <w:tblPrEx>
          <w:tblBorders>
            <w:top w:val="single" w:color="DAE1E7" w:sz="2" w:space="0"/>
            <w:left w:val="single" w:color="DAE1E7" w:sz="2" w:space="0"/>
            <w:bottom w:val="single" w:color="DAE1E7" w:sz="2" w:space="0"/>
            <w:right w:val="single" w:color="DAE1E7" w:sz="2" w:space="0"/>
            <w:insideH w:val="none" w:color="auto" w:sz="0" w:space="0"/>
            <w:insideV w:val="none" w:color="auto" w:sz="0" w:space="0"/>
          </w:tblBorders>
          <w:shd w:val="clear"/>
          <w:tblCellMar>
            <w:top w:w="15" w:type="dxa"/>
            <w:left w:w="15" w:type="dxa"/>
            <w:bottom w:w="15" w:type="dxa"/>
            <w:right w:w="15" w:type="dxa"/>
          </w:tblCellMar>
        </w:tblPrEx>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687745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textAlignment w:val="center"/>
              <w:rPr>
                <w:sz w:val="24"/>
                <w:szCs w:val="24"/>
              </w:rPr>
            </w:pPr>
            <w:r>
              <w:rPr>
                <w:rFonts w:hint="eastAsia" w:ascii="微软雅黑" w:hAnsi="微软雅黑" w:eastAsia="微软雅黑" w:cs="微软雅黑"/>
                <w:color w:val="222222"/>
                <w:sz w:val="18"/>
                <w:szCs w:val="18"/>
                <w:bdr w:val="single" w:color="DAE1E7" w:sz="2" w:space="0"/>
              </w:rPr>
              <w:t>(0201Z1)★法律经济学</w:t>
            </w:r>
          </w:p>
        </w:tc>
        <w:tc>
          <w:tcPr>
            <w:tcW w:w="4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6A7FB1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jc w:val="center"/>
              <w:rPr>
                <w:sz w:val="24"/>
                <w:szCs w:val="24"/>
              </w:rPr>
            </w:pPr>
            <w:r>
              <w:rPr>
                <w:rFonts w:hint="eastAsia" w:ascii="华文仿宋" w:hAnsi="华文仿宋" w:eastAsia="华文仿宋" w:cs="华文仿宋"/>
                <w:color w:val="222222"/>
                <w:sz w:val="28"/>
                <w:szCs w:val="28"/>
                <w:bdr w:val="single" w:color="DAE1E7" w:sz="2" w:space="0"/>
              </w:rPr>
              <w:t>法律经济学基础理论</w:t>
            </w:r>
          </w:p>
        </w:tc>
      </w:tr>
    </w:tbl>
    <w:p w14:paraId="262D8698">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笔试在国家教育考试标准化考场进行，时间为3小时。</w:t>
      </w:r>
    </w:p>
    <w:p w14:paraId="70DAFFC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面试：满分为100分。面试内容主要为考生研究计划书（需要考生准备PPT并报告约10分钟），所报考专业的重要理论、规范和实践问题以及专业外语，主要考查考生的专业素养、科研能力、创新潜质、外语水平和综合素质等，考查内容包括：</w:t>
      </w:r>
    </w:p>
    <w:p w14:paraId="2617EEE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（1）专业素养：考查考生对专业知识的掌握程度，综合运用所学知识解决问题的能力等。</w:t>
      </w:r>
    </w:p>
    <w:p w14:paraId="47B6602B">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（2）科研能力：考查考生是否具备基础的科研素养与潜能，独立思考、探究、解决问题的能力，以及对本学科前沿知识和最新研究动态的了解情况等。</w:t>
      </w:r>
    </w:p>
    <w:p w14:paraId="03F9CC8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（3）创新潜质：结合考生学术研究经历，考查考生的科研创新能力，是否具备本学科博士研究生的培养潜质。</w:t>
      </w:r>
    </w:p>
    <w:p w14:paraId="66C84C2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（4）外语水平：考查考生英语知识掌握程度及英语交流沟通能力。</w:t>
      </w:r>
    </w:p>
    <w:p w14:paraId="4FFB4C18">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（5）综合素质：重点考查考生的思维和语言表达能力、创新意识、团队精神和协作能力、身心健康等。</w:t>
      </w:r>
    </w:p>
    <w:p w14:paraId="2CE8E73A">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   每位考生面试时间一般不少于30分钟，面试结束后由专家当场独立打分。面试严格执行“随机确定考生面试次序”的工作机制。</w:t>
      </w:r>
    </w:p>
    <w:p w14:paraId="2A541B71">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3B7D6E1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五、成绩计算及录取</w:t>
      </w:r>
    </w:p>
    <w:p w14:paraId="7CAF476F">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（一）总成绩计算</w:t>
      </w:r>
    </w:p>
    <w:p w14:paraId="4F2AC9B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综合考核成绩=笔试成绩*40%+面试成绩*60%</w:t>
      </w:r>
    </w:p>
    <w:p w14:paraId="741D555C">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（各项成绩均四舍五入精确到小数点后两位）</w:t>
      </w:r>
    </w:p>
    <w:p w14:paraId="0C4C127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（二）录取</w:t>
      </w:r>
    </w:p>
    <w:p w14:paraId="53C3BE7E">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1、录取原则</w:t>
      </w:r>
    </w:p>
    <w:p w14:paraId="4B0EE9E5">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依据“全面衡量、择优录取、保证质量、宁缺毋滥”的原则进行。</w:t>
      </w:r>
    </w:p>
    <w:p w14:paraId="272D3B8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2、录取办法</w:t>
      </w:r>
    </w:p>
    <w:p w14:paraId="22B9F530">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jc w:val="both"/>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（1）根据招生计划，在合格生源中，依据考生的综合考核成绩，分专业由高到低依次排序录取。综合考核成绩相同的情况下（小数点后两位），笔试成绩较高的考生优先录取。</w:t>
      </w:r>
    </w:p>
    <w:p w14:paraId="4722BBA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jc w:val="both"/>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（2）严格控制录取结构。定向考生和非定向考生分别排序，分类录取。</w:t>
      </w:r>
    </w:p>
    <w:p w14:paraId="0E739453">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jc w:val="both"/>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定向就业考生的录取规则：全院所有定向生按照综合成绩统一排名，从高到低依次录取，不区分专业。考生须首先在所报考导师的全部考生中排名第一，并进入所报考专业的录取名额，再参与全院统一排名。定向考生在材料评议、笔试和面试等任一环节成绩超过90分的，法学院教授委员会有权启动复核程序，并按复核结果确定该环节的最终分数。任一专业任一年度录取定向生不超过一名，且任一专业、任一导师在三年内最多招收一名定向生。</w:t>
      </w:r>
    </w:p>
    <w:p w14:paraId="6DA045B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jc w:val="both"/>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（3）专项计划执行学校录取的相关规定。</w:t>
      </w:r>
    </w:p>
    <w:p w14:paraId="0A62A013">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360" w:lineRule="atLeast"/>
        <w:ind w:left="0" w:right="0" w:firstLine="555"/>
        <w:jc w:val="both"/>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（4）综合考核成绩低于60分；加试成绩低于60分；或思想政治素质与品德考核不合格者不予录取。</w:t>
      </w:r>
    </w:p>
    <w:p w14:paraId="3F1FD78B">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420" w:right="0" w:firstLine="0"/>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（三）调剂</w:t>
      </w:r>
    </w:p>
    <w:p w14:paraId="6DF7885A">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综合考核成绩排名在招生计划数内，因报考导师招生名额不足的考生可以申请调剂。</w:t>
      </w:r>
    </w:p>
    <w:p w14:paraId="0C3E1E89">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六、信息公开</w:t>
      </w:r>
    </w:p>
    <w:p w14:paraId="4DE85AED">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我院博士招生考试相关信息均通过学院网站公开发布，且全过程接受学校纪检监察部门及研究生院的监督和检查，考生如对考核环节和录取结果有异议，可向学院提出申诉，由学院对材料进行调查和处理，并将结果反馈至考生。</w:t>
      </w:r>
    </w:p>
    <w:p w14:paraId="0F132BD6">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Fonts w:hint="eastAsia" w:ascii="华文仿宋" w:hAnsi="华文仿宋" w:eastAsia="华文仿宋" w:cs="华文仿宋"/>
          <w:i w:val="0"/>
          <w:iCs w:val="0"/>
          <w:caps w:val="0"/>
          <w:color w:val="333333"/>
          <w:spacing w:val="0"/>
          <w:sz w:val="28"/>
          <w:szCs w:val="28"/>
          <w:bdr w:val="single" w:color="DAE1E7" w:sz="2" w:space="0"/>
          <w:shd w:val="clear" w:fill="FFFFFF"/>
        </w:rPr>
        <w:t>考生咨询及申诉渠道：028-87092273</w:t>
      </w:r>
    </w:p>
    <w:p w14:paraId="5A46E894">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firstLine="555"/>
        <w:rPr>
          <w:sz w:val="24"/>
          <w:szCs w:val="24"/>
        </w:rPr>
      </w:pPr>
      <w:r>
        <w:rPr>
          <w:rStyle w:val="8"/>
          <w:rFonts w:hint="eastAsia" w:ascii="华文仿宋" w:hAnsi="华文仿宋" w:eastAsia="华文仿宋" w:cs="华文仿宋"/>
          <w:b/>
          <w:bCs/>
          <w:i w:val="0"/>
          <w:iCs w:val="0"/>
          <w:caps w:val="0"/>
          <w:color w:val="333333"/>
          <w:spacing w:val="0"/>
          <w:sz w:val="28"/>
          <w:szCs w:val="28"/>
          <w:bdr w:val="single" w:color="DAE1E7" w:sz="2" w:space="0"/>
          <w:shd w:val="clear" w:fill="FFFFFF"/>
        </w:rPr>
        <w:t>七、本规定自公布之日起实施。如有本办法规定明显与学校强制性规定相冲突者，适用学校办法。</w:t>
      </w:r>
    </w:p>
    <w:p w14:paraId="33FDB3D7">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150" w:afterAutospacing="0" w:line="432" w:lineRule="atLeast"/>
        <w:ind w:left="0" w:right="0"/>
        <w:rPr>
          <w:sz w:val="24"/>
          <w:szCs w:val="24"/>
        </w:rPr>
      </w:pPr>
    </w:p>
    <w:p w14:paraId="16B4C939">
      <w:pPr>
        <w:keepNext w:val="0"/>
        <w:keepLines w:val="0"/>
        <w:widowControl/>
        <w:numPr>
          <w:ilvl w:val="0"/>
          <w:numId w:val="1"/>
        </w:numPr>
        <w:suppressLineNumbers w:val="0"/>
        <w:pBdr>
          <w:top w:val="single" w:color="DAE1E7" w:sz="2" w:space="0"/>
          <w:left w:val="single" w:color="DAE1E7" w:sz="2" w:space="0"/>
          <w:bottom w:val="single" w:color="DAE1E7" w:sz="2" w:space="0"/>
          <w:right w:val="single" w:color="DAE1E7" w:sz="2" w:space="0"/>
        </w:pBdr>
        <w:spacing w:before="0" w:beforeAutospacing="1" w:after="0" w:afterAutospacing="1" w:line="270" w:lineRule="atLeast"/>
        <w:ind w:left="226" w:hanging="360"/>
        <w:rPr>
          <w:sz w:val="27"/>
          <w:szCs w:val="27"/>
        </w:rPr>
      </w:pPr>
      <w:r>
        <w:rPr>
          <w:rFonts w:hint="default" w:ascii="Helvetica" w:hAnsi="Helvetica" w:eastAsia="Helvetica" w:cs="Helvetica"/>
          <w:i w:val="0"/>
          <w:iCs w:val="0"/>
          <w:caps w:val="0"/>
          <w:color w:val="333333"/>
          <w:spacing w:val="0"/>
          <w:sz w:val="27"/>
          <w:szCs w:val="27"/>
          <w:bdr w:val="single" w:color="DAE1E7" w:sz="2" w:space="0"/>
          <w:shd w:val="clear" w:fill="FFFFFF"/>
        </w:rPr>
        <w:t>附件【</w:t>
      </w:r>
      <w:r>
        <w:rPr>
          <w:rFonts w:hint="default" w:ascii="Helvetica" w:hAnsi="Helvetica" w:eastAsia="Helvetica" w:cs="Helvetica"/>
          <w:i w:val="0"/>
          <w:iCs w:val="0"/>
          <w:caps w:val="0"/>
          <w:color w:val="0072CF"/>
          <w:spacing w:val="0"/>
          <w:sz w:val="27"/>
          <w:szCs w:val="27"/>
          <w:u w:val="none"/>
          <w:bdr w:val="single" w:color="DAE1E7" w:sz="2" w:space="0"/>
          <w:shd w:val="clear" w:fill="FFFFFF"/>
        </w:rPr>
        <w:fldChar w:fldCharType="begin"/>
      </w:r>
      <w:r>
        <w:rPr>
          <w:rFonts w:hint="default" w:ascii="Helvetica" w:hAnsi="Helvetica" w:eastAsia="Helvetica" w:cs="Helvetica"/>
          <w:i w:val="0"/>
          <w:iCs w:val="0"/>
          <w:caps w:val="0"/>
          <w:color w:val="0072CF"/>
          <w:spacing w:val="0"/>
          <w:sz w:val="27"/>
          <w:szCs w:val="27"/>
          <w:u w:val="none"/>
          <w:bdr w:val="single" w:color="DAE1E7" w:sz="2" w:space="0"/>
          <w:shd w:val="clear" w:fill="FFFFFF"/>
        </w:rPr>
        <w:instrText xml:space="preserve"> HYPERLINK "https://lawschool.swufe.edu.cn/system/_content/download.jsp?urltype=news.DownloadAttachUrl&amp;owner=1979532536&amp;wbfileid=1312EAB8C83D78C6C98CEC3DA4078720" \t "https://lawschool.swufe.edu.cn/info/1048/_blank" </w:instrText>
      </w:r>
      <w:r>
        <w:rPr>
          <w:rFonts w:hint="default" w:ascii="Helvetica" w:hAnsi="Helvetica" w:eastAsia="Helvetica" w:cs="Helvetica"/>
          <w:i w:val="0"/>
          <w:iCs w:val="0"/>
          <w:caps w:val="0"/>
          <w:color w:val="0072CF"/>
          <w:spacing w:val="0"/>
          <w:sz w:val="27"/>
          <w:szCs w:val="27"/>
          <w:u w:val="none"/>
          <w:bdr w:val="single" w:color="DAE1E7" w:sz="2" w:space="0"/>
          <w:shd w:val="clear" w:fill="FFFFFF"/>
        </w:rPr>
        <w:fldChar w:fldCharType="separate"/>
      </w:r>
      <w:r>
        <w:rPr>
          <w:rStyle w:val="9"/>
          <w:rFonts w:hint="default" w:ascii="Helvetica" w:hAnsi="Helvetica" w:eastAsia="Helvetica" w:cs="Helvetica"/>
          <w:i w:val="0"/>
          <w:iCs w:val="0"/>
          <w:caps w:val="0"/>
          <w:color w:val="0072CF"/>
          <w:spacing w:val="0"/>
          <w:sz w:val="27"/>
          <w:szCs w:val="27"/>
          <w:u w:val="none"/>
          <w:bdr w:val="single" w:color="DAE1E7" w:sz="2" w:space="0"/>
          <w:shd w:val="clear" w:fill="FFFFFF"/>
        </w:rPr>
        <w:t>报考需要提交表格.zip</w:t>
      </w:r>
      <w:r>
        <w:rPr>
          <w:rFonts w:hint="default" w:ascii="Helvetica" w:hAnsi="Helvetica" w:eastAsia="Helvetica" w:cs="Helvetica"/>
          <w:i w:val="0"/>
          <w:iCs w:val="0"/>
          <w:caps w:val="0"/>
          <w:color w:val="0072CF"/>
          <w:spacing w:val="0"/>
          <w:sz w:val="27"/>
          <w:szCs w:val="27"/>
          <w:u w:val="none"/>
          <w:bdr w:val="single" w:color="DAE1E7" w:sz="2" w:space="0"/>
          <w:shd w:val="clear" w:fill="FFFFFF"/>
        </w:rPr>
        <w:fldChar w:fldCharType="end"/>
      </w:r>
      <w:r>
        <w:rPr>
          <w:rFonts w:hint="default" w:ascii="Helvetica" w:hAnsi="Helvetica" w:eastAsia="Helvetica" w:cs="Helvetica"/>
          <w:i w:val="0"/>
          <w:iCs w:val="0"/>
          <w:caps w:val="0"/>
          <w:color w:val="333333"/>
          <w:spacing w:val="0"/>
          <w:sz w:val="27"/>
          <w:szCs w:val="27"/>
          <w:bdr w:val="single" w:color="DAE1E7" w:sz="2" w:space="0"/>
          <w:shd w:val="clear" w:fill="FFFFFF"/>
        </w:rPr>
        <w:t>】</w:t>
      </w:r>
    </w:p>
    <w:p w14:paraId="76FA2EFF">
      <w:pPr>
        <w:rPr>
          <w:rFonts w:hint="eastAsia" w:ascii="Helvetica" w:hAnsi="Helvetica" w:eastAsia="Helvetica" w:cs="Helvetica"/>
          <w:b/>
          <w:bCs/>
          <w:i w:val="0"/>
          <w:iCs w:val="0"/>
          <w:caps w:val="0"/>
          <w:color w:val="1976D2"/>
          <w:spacing w:val="15"/>
          <w:sz w:val="36"/>
          <w:szCs w:val="36"/>
          <w:shd w:val="clear" w:fill="E4E4E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69B67"/>
    <w:multiLevelType w:val="multilevel"/>
    <w:tmpl w:val="82669B6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FA777AC"/>
    <w:rsid w:val="2C3B141D"/>
    <w:rsid w:val="31740730"/>
    <w:rsid w:val="34D7553F"/>
    <w:rsid w:val="3F395AC9"/>
    <w:rsid w:val="555A2916"/>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2844CB32C7F04023A9EDE4BBF45050E5_13</vt:lpwstr>
  </property>
</Properties>
</file>