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F1219">
      <w:pPr>
        <w:jc w:val="center"/>
        <w:rPr>
          <w:rFonts w:ascii="华文仿宋" w:hAnsi="华文仿宋" w:eastAsia="华文仿宋" w:cs="华文仿宋"/>
          <w:sz w:val="32"/>
          <w:szCs w:val="32"/>
        </w:rPr>
      </w:pPr>
    </w:p>
    <w:p w14:paraId="6242971D"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关于“对口支援河北大学</w:t>
      </w:r>
    </w:p>
    <w:p w14:paraId="402EE548"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定向师资博士研究生专项计划”的说明</w:t>
      </w:r>
    </w:p>
    <w:p w14:paraId="7B6A47E5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18A29005"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为做好部属院校与部省合建高校对口合作工作，根据教育部202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2"/>
          <w:szCs w:val="32"/>
        </w:rPr>
        <w:t>年博士研究生招生计划对口支援部省合建高校专项计划相关要求，现将相关工作说明如下。</w:t>
      </w:r>
    </w:p>
    <w:p w14:paraId="65104490"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招生专业</w:t>
      </w:r>
    </w:p>
    <w:tbl>
      <w:tblPr>
        <w:tblStyle w:val="6"/>
        <w:tblpPr w:leftFromText="180" w:rightFromText="180" w:vertAnchor="text" w:horzAnchor="page" w:tblpXSpec="center" w:tblpY="319"/>
        <w:tblOverlap w:val="never"/>
        <w:tblW w:w="76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3595"/>
        <w:gridCol w:w="2396"/>
      </w:tblGrid>
      <w:tr w14:paraId="0D8F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671" w:type="dxa"/>
          </w:tcPr>
          <w:p w14:paraId="6A4D4EB9">
            <w:pPr>
              <w:jc w:val="center"/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专业代码</w:t>
            </w:r>
          </w:p>
        </w:tc>
        <w:tc>
          <w:tcPr>
            <w:tcW w:w="3595" w:type="dxa"/>
          </w:tcPr>
          <w:p w14:paraId="2DF8B0A0">
            <w:pPr>
              <w:jc w:val="center"/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专业名称</w:t>
            </w:r>
          </w:p>
        </w:tc>
        <w:tc>
          <w:tcPr>
            <w:tcW w:w="2396" w:type="dxa"/>
          </w:tcPr>
          <w:p w14:paraId="79F7712D">
            <w:pPr>
              <w:jc w:val="center"/>
              <w:rPr>
                <w:rFonts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招生计划</w:t>
            </w:r>
          </w:p>
        </w:tc>
      </w:tr>
      <w:tr w14:paraId="7216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671" w:type="dxa"/>
            <w:vAlign w:val="center"/>
          </w:tcPr>
          <w:p w14:paraId="4C12B6E6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100205</w:t>
            </w:r>
          </w:p>
        </w:tc>
        <w:tc>
          <w:tcPr>
            <w:tcW w:w="3595" w:type="dxa"/>
            <w:vAlign w:val="center"/>
          </w:tcPr>
          <w:p w14:paraId="45429F70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精神病与精神卫生学</w:t>
            </w:r>
          </w:p>
        </w:tc>
        <w:tc>
          <w:tcPr>
            <w:tcW w:w="2396" w:type="dxa"/>
            <w:vAlign w:val="center"/>
          </w:tcPr>
          <w:p w14:paraId="1029129B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1</w:t>
            </w:r>
          </w:p>
        </w:tc>
      </w:tr>
      <w:tr w14:paraId="0F4A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671" w:type="dxa"/>
            <w:vAlign w:val="center"/>
          </w:tcPr>
          <w:p w14:paraId="066F2EC1">
            <w:pPr>
              <w:jc w:val="center"/>
              <w:rPr>
                <w:rFonts w:hint="default" w:ascii="华文楷体" w:hAnsi="华文楷体" w:eastAsia="华文楷体" w:cs="华文楷体"/>
                <w:sz w:val="24"/>
                <w:lang w:val="en-US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083900</w:t>
            </w:r>
          </w:p>
        </w:tc>
        <w:tc>
          <w:tcPr>
            <w:tcW w:w="3595" w:type="dxa"/>
            <w:vAlign w:val="center"/>
          </w:tcPr>
          <w:p w14:paraId="11E0476E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网络空间安全</w:t>
            </w:r>
          </w:p>
        </w:tc>
        <w:tc>
          <w:tcPr>
            <w:tcW w:w="2396" w:type="dxa"/>
            <w:vAlign w:val="center"/>
          </w:tcPr>
          <w:p w14:paraId="2A69C4D0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1</w:t>
            </w:r>
          </w:p>
        </w:tc>
      </w:tr>
      <w:tr w14:paraId="45AE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671" w:type="dxa"/>
            <w:vAlign w:val="center"/>
          </w:tcPr>
          <w:p w14:paraId="2A19AD6A">
            <w:pPr>
              <w:jc w:val="center"/>
              <w:rPr>
                <w:rFonts w:hint="default" w:ascii="华文楷体" w:hAnsi="华文楷体" w:eastAsia="华文楷体" w:cs="华文楷体"/>
                <w:sz w:val="24"/>
                <w:lang w:val="en-US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100400</w:t>
            </w:r>
          </w:p>
        </w:tc>
        <w:tc>
          <w:tcPr>
            <w:tcW w:w="3595" w:type="dxa"/>
            <w:vAlign w:val="center"/>
          </w:tcPr>
          <w:p w14:paraId="155A48A3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公共卫生与预防医学</w:t>
            </w:r>
          </w:p>
        </w:tc>
        <w:tc>
          <w:tcPr>
            <w:tcW w:w="2396" w:type="dxa"/>
            <w:vAlign w:val="center"/>
          </w:tcPr>
          <w:p w14:paraId="6D546A97">
            <w:pPr>
              <w:jc w:val="center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lang w:val="en-US" w:eastAsia="zh-CN"/>
              </w:rPr>
              <w:t>1</w:t>
            </w:r>
          </w:p>
        </w:tc>
      </w:tr>
    </w:tbl>
    <w:p w14:paraId="43146E19"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报名办法</w:t>
      </w:r>
    </w:p>
    <w:p w14:paraId="1C08B3E7">
      <w:pPr>
        <w:ind w:firstLine="640" w:firstLineChars="200"/>
        <w:rPr>
          <w:rFonts w:hint="eastAsia" w:ascii="华文仿宋" w:hAnsi="华文仿宋" w:eastAsia="华文仿宋" w:cs="华文仿宋"/>
          <w:color w:val="auto"/>
          <w:sz w:val="32"/>
          <w:szCs w:val="32"/>
          <w:highlight w:val="lightGray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按照武汉大学招收攻读博士学位研究生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lang w:val="en-US" w:eastAsia="zh-CN"/>
        </w:rPr>
        <w:t>专项计划等相关通知要求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完成报名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lang w:eastAsia="zh-CN"/>
        </w:rPr>
        <w:t>。</w:t>
      </w:r>
    </w:p>
    <w:p w14:paraId="4873DD5E"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有意报考“对口支援河北大学定向师资博士研究生专项计划”的考生，请先行与河北大学联系（联系人：孔老师，电话：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0312-5079752</w:t>
      </w:r>
      <w:r>
        <w:rPr>
          <w:rFonts w:hint="eastAsia" w:ascii="华文仿宋" w:hAnsi="华文仿宋" w:eastAsia="华文仿宋" w:cs="华文仿宋"/>
          <w:sz w:val="32"/>
          <w:szCs w:val="32"/>
        </w:rPr>
        <w:t>），在充分了解定向培养的具体条件和优惠政策的基础上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报名。</w:t>
      </w:r>
      <w:r>
        <w:rPr>
          <w:rFonts w:hint="eastAsia" w:ascii="华文仿宋" w:hAnsi="华文仿宋" w:eastAsia="华文仿宋" w:cs="华文仿宋"/>
          <w:sz w:val="32"/>
          <w:szCs w:val="32"/>
        </w:rPr>
        <w:t>“对口支援博士师资专项计划”不占用院系原有招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生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指标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 w14:paraId="5C0BB34E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三、选拔录取及相关待遇</w:t>
      </w:r>
    </w:p>
    <w:p w14:paraId="36A2FE36">
      <w:pPr>
        <w:ind w:firstLine="64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1.报考该计划的考生通过博士生招生考核办法录取后，须与河北大学及我校签订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《武汉大学202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年对口支援定向博士研究生协议书》</w:t>
      </w:r>
      <w:r>
        <w:rPr>
          <w:rFonts w:hint="eastAsia" w:ascii="华文仿宋" w:hAnsi="华文仿宋" w:eastAsia="华文仿宋" w:cs="华文仿宋"/>
          <w:sz w:val="32"/>
          <w:szCs w:val="32"/>
        </w:rPr>
        <w:t>。</w:t>
      </w:r>
    </w:p>
    <w:p w14:paraId="4CA00135">
      <w:pPr>
        <w:ind w:firstLine="64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2.定向学生在读期间学费及有关费用自理。正常学制在读期内河北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大学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为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定向学生发放每月1500元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</w:rPr>
        <w:t>生活补贴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</w:rPr>
        <w:t>（税</w:t>
      </w:r>
      <w:r>
        <w:rPr>
          <w:rFonts w:hint="eastAsia" w:ascii="华文仿宋" w:hAnsi="华文仿宋" w:eastAsia="华文仿宋" w:cs="华文仿宋"/>
          <w:sz w:val="32"/>
          <w:szCs w:val="32"/>
        </w:rPr>
        <w:t>前，每年发放10个月）。</w:t>
      </w:r>
    </w:p>
    <w:p w14:paraId="52997224">
      <w:pPr>
        <w:ind w:firstLine="64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3.定向学生学习结束获得博士学位后须到河北大学工作，且服务年限不得少于8年（含8年）。具体工作及薪金待遇由河北大学根据报到时学校人才引进、接收及工作人员招聘等相关要求合理安排。</w:t>
      </w:r>
    </w:p>
    <w:p w14:paraId="4CFF29F2">
      <w:pPr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四、河北大学基本情况</w:t>
      </w:r>
    </w:p>
    <w:p w14:paraId="62B39697">
      <w:pPr>
        <w:ind w:firstLine="64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河北大学是教育部与河北省人民政府“部省合建”高校，河北省重点支持的国家一流大学建设一层次高校。</w:t>
      </w:r>
    </w:p>
    <w:p w14:paraId="14C11546">
      <w:pPr>
        <w:pStyle w:val="4"/>
        <w:spacing w:before="0" w:beforeAutospacing="0" w:after="0" w:afterAutospacing="0" w:line="480" w:lineRule="auto"/>
        <w:ind w:firstLine="48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学校始建于1921年，初名天津工商大学，校址位于天津市马场道141号。1933年，学校更名为天津工商学院，“实事求是”校训传统在这一时期得以确立。其后，学校历经私立津沽大学、国立津沽大学、天津师范学院、天津师范大学不同时期。1960年，河北省委、省政府决定建设一所以省名定名的综合性大学，天津师范大学遂改建为综合性大学并定名河北大学。1970年，迁址河北省保定市。学校虽数易校名，几经辗转，但办学历史从未中断，发展成为具有影响力的综合性大学。</w:t>
      </w:r>
    </w:p>
    <w:p w14:paraId="2143BD9D"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 w:firstLine="640" w:firstLineChars="200"/>
      </w:pPr>
      <w:r>
        <w:rPr>
          <w:rFonts w:hint="eastAsia" w:ascii="华文仿宋" w:hAnsi="华文仿宋" w:eastAsia="华文仿宋" w:cs="华文仿宋"/>
          <w:sz w:val="32"/>
          <w:szCs w:val="32"/>
        </w:rPr>
        <w:t>学校学科门类齐全，分布在哲学、经济学、法学、教育学、文学、历史学、理学、工学、农学、医学、管理学、艺术学12大门类。设有86个本科专业，1个国家重点（培育）学科，18个一级学科博士学位授权点，2个博士专业学位授权点，44个一级学科硕士学位授权点，38个硕士专业学位授权点，13个博士后科研流动站，1个博士后科研工作站。化学、材料科学、工程学、临床医学、植物与动物科学、药理学与毒理学、农业科学、环境科学与生态学等8个学科进入ESI世界排名前1%。</w:t>
      </w:r>
    </w:p>
    <w:p w14:paraId="6D01E88A">
      <w:pPr>
        <w:pStyle w:val="4"/>
        <w:spacing w:before="0" w:beforeAutospacing="0" w:after="0" w:afterAutospacing="0" w:line="480" w:lineRule="auto"/>
        <w:ind w:firstLine="48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学校坚持人才强校，实施“坤舆学者”支持计划。现有教职员工3452人；拥有两院院士、国家杰青，“万人计划”、国家级教学名师、国家“百千万人才工程”人选、国家有突出贡献中青年专家、国务院特殊津贴专家等国家级优秀人才54人次，燕赵学者、省管优秀专家等省部级以上高层次人才255人次。</w:t>
      </w:r>
    </w:p>
    <w:p w14:paraId="30CA6DA4">
      <w:pPr>
        <w:pStyle w:val="4"/>
        <w:spacing w:before="0" w:beforeAutospacing="0" w:after="0" w:afterAutospacing="0" w:line="480" w:lineRule="auto"/>
        <w:ind w:firstLine="48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学校建有全国重点实验室1个，国家地方联合工程实验室（中心）3个，教育部重点实验室1个，教育部工程研究中心2个，教育部人文社科重点研究基地1个。同时拥有河北省重点实验室（基地）、工程实验室32个，河北省人文社科重点研究基地（中心、智库）28个，河北省“2011”协同创新中心5个，河北省基础学科研究中心3个，省部共建协同创新中心1个。</w:t>
      </w:r>
    </w:p>
    <w:p w14:paraId="5BD04CDB">
      <w:pPr>
        <w:pStyle w:val="4"/>
        <w:spacing w:before="0" w:beforeAutospacing="0" w:after="0" w:afterAutospacing="0" w:line="480" w:lineRule="auto"/>
        <w:ind w:firstLine="480"/>
        <w:rPr>
          <w:rFonts w:hint="eastAsia" w:ascii="华文仿宋" w:hAnsi="华文仿宋" w:eastAsia="华文仿宋" w:cs="华文仿宋"/>
          <w:sz w:val="32"/>
          <w:szCs w:val="32"/>
        </w:rPr>
      </w:pPr>
      <w:bookmarkStart w:id="0" w:name="_GoBack"/>
      <w:bookmarkEnd w:id="0"/>
    </w:p>
    <w:p w14:paraId="7B55A5F7">
      <w:pPr>
        <w:pStyle w:val="4"/>
        <w:spacing w:before="0" w:beforeAutospacing="0" w:after="0" w:afterAutospacing="0" w:line="480" w:lineRule="auto"/>
        <w:ind w:firstLine="48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我校</w:t>
      </w:r>
      <w:r>
        <w:rPr>
          <w:rFonts w:hint="eastAsia" w:ascii="华文仿宋" w:hAnsi="华文仿宋" w:eastAsia="华文仿宋" w:cs="华文仿宋"/>
          <w:sz w:val="32"/>
          <w:szCs w:val="32"/>
        </w:rPr>
        <w:t>学校简介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请查看</w:t>
      </w:r>
      <w:r>
        <w:rPr>
          <w:rFonts w:hint="eastAsia" w:ascii="华文仿宋" w:hAnsi="华文仿宋" w:eastAsia="华文仿宋" w:cs="华文仿宋"/>
          <w:sz w:val="32"/>
          <w:szCs w:val="32"/>
        </w:rPr>
        <w:t>https://www.hbu.edu.cn/xxdgx/xxjj.htm</w:t>
      </w:r>
    </w:p>
    <w:sectPr>
      <w:pgSz w:w="11906" w:h="16838"/>
      <w:pgMar w:top="1701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0A3D07"/>
    <w:multiLevelType w:val="singleLevel"/>
    <w:tmpl w:val="930A3D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8D1BCC"/>
    <w:rsid w:val="00030D1F"/>
    <w:rsid w:val="00056B1D"/>
    <w:rsid w:val="000715A6"/>
    <w:rsid w:val="0011388F"/>
    <w:rsid w:val="00166F06"/>
    <w:rsid w:val="002351D4"/>
    <w:rsid w:val="002430D3"/>
    <w:rsid w:val="002A241E"/>
    <w:rsid w:val="002E082B"/>
    <w:rsid w:val="0032295A"/>
    <w:rsid w:val="00420094"/>
    <w:rsid w:val="004A05B1"/>
    <w:rsid w:val="005B5CBC"/>
    <w:rsid w:val="005F718A"/>
    <w:rsid w:val="0064422A"/>
    <w:rsid w:val="006462B8"/>
    <w:rsid w:val="006D2823"/>
    <w:rsid w:val="00765978"/>
    <w:rsid w:val="007F05B5"/>
    <w:rsid w:val="008C0A02"/>
    <w:rsid w:val="008D347D"/>
    <w:rsid w:val="008E3FEE"/>
    <w:rsid w:val="009159CA"/>
    <w:rsid w:val="00A72765"/>
    <w:rsid w:val="00B63F8E"/>
    <w:rsid w:val="00BB05E5"/>
    <w:rsid w:val="00BB7A94"/>
    <w:rsid w:val="00BD1BA0"/>
    <w:rsid w:val="00BF175E"/>
    <w:rsid w:val="00C10A9E"/>
    <w:rsid w:val="00C9756F"/>
    <w:rsid w:val="00CA6080"/>
    <w:rsid w:val="00CB313B"/>
    <w:rsid w:val="00D87AA4"/>
    <w:rsid w:val="00DA7C4C"/>
    <w:rsid w:val="00E66144"/>
    <w:rsid w:val="00E85968"/>
    <w:rsid w:val="00ED6BD9"/>
    <w:rsid w:val="00EF4169"/>
    <w:rsid w:val="00F03DC9"/>
    <w:rsid w:val="00FE530F"/>
    <w:rsid w:val="025D0BCF"/>
    <w:rsid w:val="04864CF6"/>
    <w:rsid w:val="1B8D1BCC"/>
    <w:rsid w:val="1BC714F8"/>
    <w:rsid w:val="214E70B1"/>
    <w:rsid w:val="2BEB1309"/>
    <w:rsid w:val="2D512D89"/>
    <w:rsid w:val="429B2257"/>
    <w:rsid w:val="490B41C9"/>
    <w:rsid w:val="4A665F39"/>
    <w:rsid w:val="4CEB1BCE"/>
    <w:rsid w:val="591E4486"/>
    <w:rsid w:val="5ED8057B"/>
    <w:rsid w:val="61D753D3"/>
    <w:rsid w:val="6A30651D"/>
    <w:rsid w:val="6C3651C5"/>
    <w:rsid w:val="78C00589"/>
    <w:rsid w:val="7DD1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qFormat="1"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0"/>
    <w:rPr>
      <w:color w:val="333333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TML Acronym"/>
    <w:basedOn w:val="7"/>
    <w:semiHidden/>
    <w:unhideWhenUsed/>
    <w:qFormat/>
    <w:uiPriority w:val="0"/>
  </w:style>
  <w:style w:type="character" w:styleId="11">
    <w:name w:val="Hyperlink"/>
    <w:basedOn w:val="7"/>
    <w:semiHidden/>
    <w:unhideWhenUsed/>
    <w:qFormat/>
    <w:uiPriority w:val="0"/>
    <w:rPr>
      <w:color w:val="333333"/>
      <w:u w:val="none"/>
    </w:rPr>
  </w:style>
  <w:style w:type="paragraph" w:customStyle="1" w:styleId="12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</w:rPr>
  </w:style>
  <w:style w:type="character" w:customStyle="1" w:styleId="13">
    <w:name w:val="页眉 Char"/>
    <w:basedOn w:val="7"/>
    <w:link w:val="3"/>
    <w:qFormat/>
    <w:uiPriority w:val="0"/>
    <w:rPr>
      <w:color w:val="000000" w:themeColor="text1"/>
      <w:kern w:val="2"/>
      <w:sz w:val="18"/>
      <w:szCs w:val="18"/>
      <w14:textFill>
        <w14:solidFill>
          <w14:schemeClr w14:val="tx1"/>
        </w14:solidFill>
      </w14:textFill>
    </w:rPr>
  </w:style>
  <w:style w:type="character" w:customStyle="1" w:styleId="14">
    <w:name w:val="页脚 Char"/>
    <w:basedOn w:val="7"/>
    <w:link w:val="2"/>
    <w:qFormat/>
    <w:uiPriority w:val="0"/>
    <w:rPr>
      <w:color w:val="000000" w:themeColor="text1"/>
      <w:kern w:val="2"/>
      <w:sz w:val="18"/>
      <w:szCs w:val="18"/>
      <w14:textFill>
        <w14:solidFill>
          <w14:schemeClr w14:val="tx1"/>
        </w14:solidFill>
      </w14:textFill>
    </w:rPr>
  </w:style>
  <w:style w:type="paragraph" w:customStyle="1" w:styleId="1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E2D8-BB52-4BE7-8FD3-46456B9DDF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1328</Words>
  <Characters>1404</Characters>
  <Lines>10</Lines>
  <Paragraphs>2</Paragraphs>
  <TotalTime>0</TotalTime>
  <ScaleCrop>false</ScaleCrop>
  <LinksUpToDate>false</LinksUpToDate>
  <CharactersWithSpaces>1404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2024-03-19T07:28:00Z</dcterms:created>
  <dc:creator>宋</dc:creator>
  <cp:lastModifiedBy>c c</cp:lastModifiedBy>
  <dcterms:modified xsi:type="dcterms:W3CDTF">2025-04-23T04:23:47Z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3B0ECC6CFA614C7AB590380E01DD0B1E_13</vt:lpwstr>
  </property>
  <property fmtid="{D5CDD505-2E9C-101B-9397-08002B2CF9AE}" pid="4" name="KSOTemplateDocerSaveRecord">
    <vt:lpwstr>eyJoZGlkIjoiMGY2ZGQzYzBmN2M0YzU2MmE4MzQ4NGEzOWY4ZDY4Y2YiLCJ1c2VySWQiOiI4MjQyMTM0ODAifQ==</vt:lpwstr>
  </property>
</Properties>
</file>