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85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548C"/>
          <w:spacing w:val="0"/>
          <w:sz w:val="34"/>
          <w:szCs w:val="34"/>
        </w:rPr>
      </w:pPr>
      <w:r>
        <w:rPr>
          <w:rFonts w:hint="eastAsia" w:ascii="微软雅黑" w:hAnsi="微软雅黑" w:eastAsia="微软雅黑" w:cs="微软雅黑"/>
          <w:b/>
          <w:bCs/>
          <w:i w:val="0"/>
          <w:iCs w:val="0"/>
          <w:caps w:val="0"/>
          <w:color w:val="00548C"/>
          <w:spacing w:val="0"/>
          <w:sz w:val="34"/>
          <w:szCs w:val="34"/>
          <w:bdr w:val="none" w:color="auto" w:sz="0" w:space="0"/>
          <w:shd w:val="clear" w:fill="FFFFFF"/>
        </w:rPr>
        <w:t>管理科学与工程学院2025年博士研究生招生考试实施细则</w:t>
      </w:r>
    </w:p>
    <w:p w14:paraId="3A3BA8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ascii="华文仿宋" w:hAnsi="华文仿宋" w:eastAsia="华文仿宋" w:cs="华文仿宋"/>
          <w:i w:val="0"/>
          <w:iCs w:val="0"/>
          <w:caps w:val="0"/>
          <w:color w:val="333333"/>
          <w:spacing w:val="0"/>
          <w:sz w:val="24"/>
          <w:szCs w:val="24"/>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2EA28D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556" w:right="0" w:firstLine="420"/>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一、组织管理</w:t>
      </w:r>
    </w:p>
    <w:p w14:paraId="455A88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059ACD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二、招生方式、招生专业和招生计划</w:t>
      </w:r>
    </w:p>
    <w:p w14:paraId="64BB33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556" w:right="0" w:firstLine="420"/>
      </w:pPr>
      <w:r>
        <w:rPr>
          <w:rFonts w:hint="eastAsia" w:ascii="华文仿宋" w:hAnsi="华文仿宋" w:eastAsia="华文仿宋" w:cs="华文仿宋"/>
          <w:i w:val="0"/>
          <w:iCs w:val="0"/>
          <w:caps w:val="0"/>
          <w:color w:val="333333"/>
          <w:spacing w:val="0"/>
          <w:sz w:val="24"/>
          <w:szCs w:val="24"/>
          <w:bdr w:val="none" w:color="auto" w:sz="0" w:space="0"/>
          <w:shd w:val="clear" w:fill="FFFFFF"/>
        </w:rPr>
        <w:t>（一）我院博士研究生招生方式为直接攻博、硕博连读和普通招考，均采用“申请-考核”进行选拔。</w:t>
      </w:r>
    </w:p>
    <w:p w14:paraId="260F9D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ascii="仿宋" w:hAnsi="仿宋" w:eastAsia="仿宋" w:cs="仿宋"/>
          <w:i w:val="0"/>
          <w:iCs w:val="0"/>
          <w:caps w:val="0"/>
          <w:color w:val="333333"/>
          <w:spacing w:val="0"/>
          <w:sz w:val="24"/>
          <w:szCs w:val="24"/>
          <w:bdr w:val="none" w:color="auto" w:sz="0" w:space="0"/>
          <w:shd w:val="clear" w:fill="FFFFFF"/>
        </w:rPr>
        <w:t>（二）招生专业及招生计划详见《西南财经大学</w:t>
      </w:r>
      <w:r>
        <w:rPr>
          <w:rFonts w:hint="eastAsia" w:ascii="仿宋" w:hAnsi="仿宋" w:eastAsia="仿宋" w:cs="仿宋"/>
          <w:i w:val="0"/>
          <w:iCs w:val="0"/>
          <w:caps w:val="0"/>
          <w:color w:val="333333"/>
          <w:spacing w:val="0"/>
          <w:sz w:val="24"/>
          <w:szCs w:val="24"/>
          <w:bdr w:val="none" w:color="auto" w:sz="0" w:space="0"/>
          <w:shd w:val="clear" w:fill="FFFFFF"/>
        </w:rPr>
        <w:t>2025年博士研究生招生专业目录》（</w:t>
      </w:r>
      <w:r>
        <w:rPr>
          <w:rFonts w:ascii="微软雅黑" w:hAnsi="微软雅黑" w:eastAsia="微软雅黑" w:cs="微软雅黑"/>
          <w:i w:val="0"/>
          <w:iCs w:val="0"/>
          <w:caps w:val="0"/>
          <w:color w:val="FFFFFF"/>
          <w:spacing w:val="0"/>
          <w:sz w:val="24"/>
          <w:szCs w:val="24"/>
          <w:u w:val="none"/>
          <w:bdr w:val="none" w:color="auto" w:sz="0" w:space="0"/>
          <w:shd w:val="clear" w:fill="FFFFFF"/>
        </w:rPr>
        <w:fldChar w:fldCharType="begin"/>
      </w:r>
      <w:r>
        <w:rPr>
          <w:rFonts w:ascii="微软雅黑" w:hAnsi="微软雅黑" w:eastAsia="微软雅黑" w:cs="微软雅黑"/>
          <w:i w:val="0"/>
          <w:iCs w:val="0"/>
          <w:caps w:val="0"/>
          <w:color w:val="FFFFFF"/>
          <w:spacing w:val="0"/>
          <w:sz w:val="24"/>
          <w:szCs w:val="24"/>
          <w:u w:val="none"/>
          <w:bdr w:val="none" w:color="auto" w:sz="0" w:space="0"/>
          <w:shd w:val="clear" w:fill="FFFFFF"/>
        </w:rPr>
        <w:instrText xml:space="preserve"> HYPERLINK "https://yzcx.swufe.edu.cn/chaxun/yzb/bs/bs2025/2025bsml.htm" </w:instrText>
      </w:r>
      <w:r>
        <w:rPr>
          <w:rFonts w:ascii="微软雅黑" w:hAnsi="微软雅黑" w:eastAsia="微软雅黑" w:cs="微软雅黑"/>
          <w:i w:val="0"/>
          <w:iCs w:val="0"/>
          <w:caps w:val="0"/>
          <w:color w:val="FFFFFF"/>
          <w:spacing w:val="0"/>
          <w:sz w:val="24"/>
          <w:szCs w:val="24"/>
          <w:u w:val="none"/>
          <w:bdr w:val="none" w:color="auto" w:sz="0" w:space="0"/>
          <w:shd w:val="clear" w:fill="FFFFFF"/>
        </w:rPr>
        <w:fldChar w:fldCharType="separate"/>
      </w:r>
      <w:r>
        <w:rPr>
          <w:rStyle w:val="10"/>
          <w:rFonts w:hint="eastAsia" w:ascii="仿宋" w:hAnsi="仿宋" w:eastAsia="仿宋" w:cs="仿宋"/>
          <w:i w:val="0"/>
          <w:iCs w:val="0"/>
          <w:caps w:val="0"/>
          <w:color w:val="0000FF"/>
          <w:spacing w:val="0"/>
          <w:sz w:val="24"/>
          <w:szCs w:val="24"/>
          <w:u w:val="single"/>
          <w:bdr w:val="none" w:color="auto" w:sz="0" w:space="0"/>
          <w:shd w:val="clear" w:fill="FFFFFF"/>
        </w:rPr>
        <w:t>点击查看</w:t>
      </w:r>
      <w:r>
        <w:rPr>
          <w:rFonts w:hint="eastAsia" w:ascii="微软雅黑" w:hAnsi="微软雅黑" w:eastAsia="微软雅黑" w:cs="微软雅黑"/>
          <w:i w:val="0"/>
          <w:iCs w:val="0"/>
          <w:caps w:val="0"/>
          <w:color w:val="FFFFFF"/>
          <w:spacing w:val="0"/>
          <w:sz w:val="24"/>
          <w:szCs w:val="24"/>
          <w:u w:val="none"/>
          <w:bdr w:val="none" w:color="auto" w:sz="0" w:space="0"/>
          <w:shd w:val="clear" w:fill="FFFFFF"/>
        </w:rPr>
        <w:fldChar w:fldCharType="end"/>
      </w:r>
      <w:r>
        <w:rPr>
          <w:rFonts w:hint="eastAsia" w:ascii="仿宋" w:hAnsi="仿宋" w:eastAsia="仿宋" w:cs="仿宋"/>
          <w:i w:val="0"/>
          <w:iCs w:val="0"/>
          <w:caps w:val="0"/>
          <w:color w:val="333333"/>
          <w:spacing w:val="0"/>
          <w:sz w:val="24"/>
          <w:szCs w:val="24"/>
          <w:bdr w:val="none" w:color="auto" w:sz="0" w:space="0"/>
          <w:shd w:val="clear" w:fill="FFFFFF"/>
        </w:rPr>
        <w:t>）。</w:t>
      </w:r>
    </w:p>
    <w:p w14:paraId="723005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仿宋" w:hAnsi="仿宋" w:eastAsia="仿宋" w:cs="仿宋"/>
          <w:b/>
          <w:bCs/>
          <w:i w:val="0"/>
          <w:iCs w:val="0"/>
          <w:caps w:val="0"/>
          <w:color w:val="333333"/>
          <w:spacing w:val="0"/>
          <w:sz w:val="24"/>
          <w:szCs w:val="24"/>
          <w:bdr w:val="none" w:color="auto" w:sz="0" w:space="0"/>
          <w:shd w:val="clear" w:fill="FFFFFF"/>
        </w:rPr>
        <w:t>说明：</w:t>
      </w:r>
    </w:p>
    <w:p w14:paraId="5F8AFE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仿宋" w:hAnsi="仿宋" w:eastAsia="仿宋" w:cs="仿宋"/>
          <w:i w:val="0"/>
          <w:iCs w:val="0"/>
          <w:caps w:val="0"/>
          <w:color w:val="333333"/>
          <w:spacing w:val="0"/>
          <w:sz w:val="24"/>
          <w:szCs w:val="24"/>
          <w:bdr w:val="none" w:color="auto" w:sz="0" w:space="0"/>
          <w:shd w:val="clear" w:fill="FFFFFF"/>
        </w:rPr>
        <w:t>1.我院120100管理科学与工程已招收直接攻博1人。</w:t>
      </w:r>
    </w:p>
    <w:p w14:paraId="0100DF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仿宋" w:hAnsi="仿宋" w:eastAsia="仿宋" w:cs="仿宋"/>
          <w:i w:val="0"/>
          <w:iCs w:val="0"/>
          <w:caps w:val="0"/>
          <w:color w:val="333333"/>
          <w:spacing w:val="0"/>
          <w:sz w:val="24"/>
          <w:szCs w:val="24"/>
          <w:bdr w:val="none" w:color="auto" w:sz="0" w:space="0"/>
          <w:shd w:val="clear" w:fill="FFFFFF"/>
        </w:rPr>
        <w:t>2.</w:t>
      </w:r>
      <w:r>
        <w:rPr>
          <w:rFonts w:hint="eastAsia" w:ascii="华文仿宋" w:hAnsi="华文仿宋" w:eastAsia="华文仿宋" w:cs="华文仿宋"/>
          <w:i w:val="0"/>
          <w:iCs w:val="0"/>
          <w:caps w:val="0"/>
          <w:color w:val="333333"/>
          <w:spacing w:val="0"/>
          <w:sz w:val="24"/>
          <w:szCs w:val="24"/>
          <w:bdr w:val="none" w:color="auto" w:sz="0" w:space="0"/>
          <w:shd w:val="clear" w:fill="FFFFFF"/>
        </w:rPr>
        <w:t>我院招收定向就业考生人数不超过1人。</w:t>
      </w:r>
    </w:p>
    <w:p w14:paraId="0524E3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3. 我院</w:t>
      </w:r>
      <w:r>
        <w:rPr>
          <w:rFonts w:hint="eastAsia" w:ascii="仿宋" w:hAnsi="仿宋" w:eastAsia="仿宋" w:cs="仿宋"/>
          <w:i w:val="0"/>
          <w:iCs w:val="0"/>
          <w:caps w:val="0"/>
          <w:color w:val="333333"/>
          <w:spacing w:val="0"/>
          <w:sz w:val="24"/>
          <w:szCs w:val="24"/>
          <w:bdr w:val="none" w:color="auto" w:sz="0" w:space="0"/>
          <w:shd w:val="clear" w:fill="FFFFFF"/>
        </w:rPr>
        <w:t>实际招生计划以学校最终下达为准，将适当根据生源情况对招生计划进行微调。</w:t>
      </w:r>
    </w:p>
    <w:p w14:paraId="42B223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4.</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华文仿宋" w:hAnsi="华文仿宋" w:eastAsia="华文仿宋" w:cs="华文仿宋"/>
          <w:i w:val="0"/>
          <w:iCs w:val="0"/>
          <w:caps w:val="0"/>
          <w:color w:val="333333"/>
          <w:spacing w:val="0"/>
          <w:sz w:val="24"/>
          <w:szCs w:val="24"/>
          <w:bdr w:val="none" w:color="auto" w:sz="0" w:space="0"/>
          <w:shd w:val="clear" w:fill="FFFFFF"/>
        </w:rPr>
        <w:t>我院硕博连读拟招生专业、招生人数和具体要求详见硕博连读选拔通知。</w:t>
      </w:r>
    </w:p>
    <w:p w14:paraId="3B094F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三、申请条件</w:t>
      </w:r>
    </w:p>
    <w:p w14:paraId="1D644E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考生应符合以下报考条件:</w:t>
      </w:r>
    </w:p>
    <w:p w14:paraId="6AAAA3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（一）中华人民共和国公民；</w:t>
      </w:r>
    </w:p>
    <w:p w14:paraId="5A52B1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（二）拥护中国共产党的领导，具有正确的政治方向，热爱祖国，愿意为建设社会主义现代化强国服务，遵纪守法，品行端正；</w:t>
      </w:r>
    </w:p>
    <w:p w14:paraId="28D992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（三）身体健康状况符合国家规定的体检要求；</w:t>
      </w:r>
    </w:p>
    <w:p w14:paraId="4EE428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（四）</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普通招考</w:t>
      </w:r>
      <w:r>
        <w:rPr>
          <w:rFonts w:hint="eastAsia" w:ascii="华文仿宋" w:hAnsi="华文仿宋" w:eastAsia="华文仿宋" w:cs="华文仿宋"/>
          <w:i w:val="0"/>
          <w:iCs w:val="0"/>
          <w:caps w:val="0"/>
          <w:color w:val="333333"/>
          <w:spacing w:val="0"/>
          <w:sz w:val="24"/>
          <w:szCs w:val="24"/>
          <w:bdr w:val="none" w:color="auto" w:sz="0" w:space="0"/>
          <w:shd w:val="clear" w:fill="FFFFFF"/>
        </w:rPr>
        <w:t>的考生，学历须符合下列条件之一：</w:t>
      </w:r>
    </w:p>
    <w:p w14:paraId="758454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1.硕士研究生毕业或已获硕士学位；</w:t>
      </w:r>
    </w:p>
    <w:p w14:paraId="26F4A0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2.应届硕士毕业生(最迟须在录取当年入学前毕业或取得硕士学位，国（境）外学生还须取得教育部留学服务中心出具的《国（境）外学历学位认证书》)；</w:t>
      </w:r>
    </w:p>
    <w:p w14:paraId="4D1A3A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（五）</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直接攻博</w:t>
      </w:r>
      <w:r>
        <w:rPr>
          <w:rFonts w:hint="eastAsia" w:ascii="华文仿宋" w:hAnsi="华文仿宋" w:eastAsia="华文仿宋" w:cs="华文仿宋"/>
          <w:i w:val="0"/>
          <w:iCs w:val="0"/>
          <w:caps w:val="0"/>
          <w:color w:val="333333"/>
          <w:spacing w:val="0"/>
          <w:sz w:val="24"/>
          <w:szCs w:val="24"/>
          <w:bdr w:val="none" w:color="auto" w:sz="0" w:space="0"/>
          <w:shd w:val="clear" w:fill="FFFFFF"/>
        </w:rPr>
        <w:t>的考生，须为已取得推免资格且符合学校接收推免条件的优秀应届本科毕业生。</w:t>
      </w:r>
    </w:p>
    <w:p w14:paraId="6FC4F5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690"/>
      </w:pPr>
      <w:r>
        <w:rPr>
          <w:rFonts w:hint="eastAsia" w:ascii="华文仿宋" w:hAnsi="华文仿宋" w:eastAsia="华文仿宋" w:cs="华文仿宋"/>
          <w:i w:val="0"/>
          <w:iCs w:val="0"/>
          <w:caps w:val="0"/>
          <w:color w:val="333333"/>
          <w:spacing w:val="0"/>
          <w:sz w:val="24"/>
          <w:szCs w:val="24"/>
          <w:bdr w:val="none" w:color="auto" w:sz="0" w:space="0"/>
          <w:shd w:val="clear" w:fill="FFFFFF"/>
        </w:rPr>
        <w:t>（六）</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硕博连读</w:t>
      </w:r>
      <w:r>
        <w:rPr>
          <w:rFonts w:hint="eastAsia" w:ascii="华文仿宋" w:hAnsi="华文仿宋" w:eastAsia="华文仿宋" w:cs="华文仿宋"/>
          <w:i w:val="0"/>
          <w:iCs w:val="0"/>
          <w:caps w:val="0"/>
          <w:color w:val="333333"/>
          <w:spacing w:val="0"/>
          <w:sz w:val="24"/>
          <w:szCs w:val="24"/>
          <w:bdr w:val="none" w:color="auto" w:sz="0" w:space="0"/>
          <w:shd w:val="clear" w:fill="FFFFFF"/>
        </w:rPr>
        <w:t>的考生，须为学校全日制学术学位二年级硕士研究生（不含单独考试、援藏计划、少数民族高层次骨干人才计划），达到培养单位规定的学分绩点等要求，具体要求详见硕博连读选拔通知。</w:t>
      </w:r>
    </w:p>
    <w:p w14:paraId="3DF3A7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四、选拔程序</w:t>
      </w:r>
    </w:p>
    <w:p w14:paraId="4FC57E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（一）网上报名</w:t>
      </w:r>
    </w:p>
    <w:p w14:paraId="03DE87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符合申请条件的考生须在规定时间内完成网上报名，网报前须获得报考导师的同意和推荐。</w:t>
      </w:r>
    </w:p>
    <w:p w14:paraId="38A868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学院组织专人对申请者的报考条件进行审查，经审查合格，则进入材料评议环节。</w:t>
      </w:r>
    </w:p>
    <w:p w14:paraId="7CEF59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b/>
          <w:bCs/>
          <w:i w:val="0"/>
          <w:iCs w:val="0"/>
          <w:caps w:val="0"/>
          <w:color w:val="333333"/>
          <w:spacing w:val="0"/>
          <w:sz w:val="24"/>
          <w:szCs w:val="24"/>
          <w:bdr w:val="none" w:color="auto" w:sz="0" w:space="0"/>
          <w:shd w:val="clear" w:fill="FFFFFF"/>
        </w:rPr>
        <w:t>（二）</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提交材料</w:t>
      </w:r>
    </w:p>
    <w:p w14:paraId="67DD3F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70"/>
      </w:pPr>
      <w:r>
        <w:rPr>
          <w:rFonts w:hint="eastAsia" w:ascii="华文仿宋" w:hAnsi="华文仿宋" w:eastAsia="华文仿宋" w:cs="华文仿宋"/>
          <w:i w:val="0"/>
          <w:iCs w:val="0"/>
          <w:caps w:val="0"/>
          <w:color w:val="333333"/>
          <w:spacing w:val="0"/>
          <w:sz w:val="24"/>
          <w:szCs w:val="24"/>
          <w:bdr w:val="none" w:color="auto" w:sz="0" w:space="0"/>
          <w:shd w:val="clear" w:fill="FFFFFF"/>
        </w:rPr>
        <w:t>网上报名成功后，请在规定时间内，将下述共1-11项材料按顺序进行整理并提交。（硕博连读提交材料以选拔通知为准）</w:t>
      </w:r>
    </w:p>
    <w:p w14:paraId="306028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70"/>
      </w:pPr>
      <w:r>
        <w:rPr>
          <w:rFonts w:hint="eastAsia" w:ascii="华文仿宋" w:hAnsi="华文仿宋" w:eastAsia="华文仿宋" w:cs="华文仿宋"/>
          <w:i w:val="0"/>
          <w:iCs w:val="0"/>
          <w:caps w:val="0"/>
          <w:color w:val="333333"/>
          <w:spacing w:val="0"/>
          <w:sz w:val="24"/>
          <w:szCs w:val="24"/>
          <w:bdr w:val="none" w:color="auto" w:sz="0" w:space="0"/>
          <w:shd w:val="clear" w:fill="FFFFFF"/>
        </w:rPr>
        <w:t>材料一式两份，其中一份材料须匿名（2-5项不用匿名），</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匿名版须隐去考生姓名、照片和报考导师信息，如若未按照要求进行匿名处理，后果自负；</w:t>
      </w:r>
      <w:r>
        <w:rPr>
          <w:rFonts w:hint="eastAsia" w:ascii="华文仿宋" w:hAnsi="华文仿宋" w:eastAsia="华文仿宋" w:cs="华文仿宋"/>
          <w:i w:val="0"/>
          <w:iCs w:val="0"/>
          <w:caps w:val="0"/>
          <w:color w:val="333333"/>
          <w:spacing w:val="0"/>
          <w:sz w:val="24"/>
          <w:szCs w:val="24"/>
          <w:bdr w:val="none" w:color="auto" w:sz="0" w:space="0"/>
          <w:shd w:val="clear" w:fill="FFFFFF"/>
        </w:rPr>
        <w:t>所提交材料不退还；并通过顺丰快递（仅限顺丰快递，请勿使用顺丰同城等其他邮寄方式；快递封面须写上“2025西财管科博士普通招考-考生姓名-报考博导姓名”）寄至“四川省成都市温江区柳台大道555号西南财经大学通博楼D401办公室，陈老师，028-87081979”。</w:t>
      </w:r>
    </w:p>
    <w:p w14:paraId="4564E3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1、《西南财经大学攻读博士学位研究生报名登记表》。</w:t>
      </w:r>
    </w:p>
    <w:p w14:paraId="2F236E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2、《专家推荐书》两份，推荐专家应具有报考专业相关的副教授及以上职称或相当职称，</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其中一份应由报考博导出具</w:t>
      </w:r>
      <w:r>
        <w:rPr>
          <w:rFonts w:hint="eastAsia" w:ascii="华文仿宋" w:hAnsi="华文仿宋" w:eastAsia="华文仿宋" w:cs="华文仿宋"/>
          <w:i w:val="0"/>
          <w:iCs w:val="0"/>
          <w:caps w:val="0"/>
          <w:color w:val="333333"/>
          <w:spacing w:val="0"/>
          <w:sz w:val="24"/>
          <w:szCs w:val="24"/>
          <w:bdr w:val="none" w:color="auto" w:sz="0" w:space="0"/>
          <w:shd w:val="clear" w:fill="FFFFFF"/>
        </w:rPr>
        <w:t>。</w:t>
      </w:r>
    </w:p>
    <w:p w14:paraId="38D206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3、身份证复印件一份。</w:t>
      </w:r>
    </w:p>
    <w:p w14:paraId="79E396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4、国内高校应届毕业生：学生证复印件一份、研究生阶段教育部学籍在线验证报告一份。</w:t>
      </w:r>
    </w:p>
    <w:p w14:paraId="6C26C6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5、国（境）外高校应届毕业生：在录取前取得国（境）外硕士学位，并提交教育部留学服务中心出具的《国（境）外学历学位认证书》一份。</w:t>
      </w:r>
    </w:p>
    <w:p w14:paraId="680782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7D23B9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6、硕士阶段课程学习成绩单一份（加盖研究生管理部门公章，需提供GPA成绩，并注明所在学校GPA满分分数）。</w:t>
      </w:r>
    </w:p>
    <w:p w14:paraId="5D5FD0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7、《攻读博士学位研究生研究计划书》一份，须提供针对所报考专业的某一问题制定的详尽研究计划（包括选题依据，文献综述，研究内容，拟采用的研究方法、技术路线，考核指标（成果）等内容）。</w:t>
      </w:r>
    </w:p>
    <w:p w14:paraId="541F48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8、代表性科研成果：</w:t>
      </w:r>
    </w:p>
    <w:p w14:paraId="7735EA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（1）学术论文：应为最能反映考生学术水平的已公开发表的与报考学科相关的学术论文</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一篇</w:t>
      </w:r>
      <w:r>
        <w:rPr>
          <w:rFonts w:hint="eastAsia" w:ascii="华文仿宋" w:hAnsi="华文仿宋" w:eastAsia="华文仿宋" w:cs="华文仿宋"/>
          <w:i w:val="0"/>
          <w:iCs w:val="0"/>
          <w:caps w:val="0"/>
          <w:color w:val="333333"/>
          <w:spacing w:val="0"/>
          <w:sz w:val="24"/>
          <w:szCs w:val="24"/>
          <w:bdr w:val="none" w:color="auto" w:sz="0" w:space="0"/>
          <w:shd w:val="clear" w:fill="FFFFFF"/>
        </w:rPr>
        <w:t>（仅限正式见刊成果，本人一作或唯一通讯作者或硕士期间导师一作本人二作），须提供期刊复印件一份（包括封面、目录、正文、封底）。</w:t>
      </w:r>
    </w:p>
    <w:p w14:paraId="724358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（2）专著：应为最能反映考生学术水平的已公开出版的与报考学科相关的专著</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一部</w:t>
      </w:r>
      <w:r>
        <w:rPr>
          <w:rFonts w:hint="eastAsia" w:ascii="华文仿宋" w:hAnsi="华文仿宋" w:eastAsia="华文仿宋" w:cs="华文仿宋"/>
          <w:i w:val="0"/>
          <w:iCs w:val="0"/>
          <w:caps w:val="0"/>
          <w:color w:val="333333"/>
          <w:spacing w:val="0"/>
          <w:sz w:val="24"/>
          <w:szCs w:val="24"/>
          <w:bdr w:val="none" w:color="auto" w:sz="0" w:space="0"/>
          <w:shd w:val="clear" w:fill="FFFFFF"/>
        </w:rPr>
        <w:t>（仅限正式出版成果，以专著中所列作者为准），须提供专著复印件一份（仅需封面、版权页、前言、目录、封底）。</w:t>
      </w:r>
    </w:p>
    <w:p w14:paraId="479111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（3）科研项目：应为最能反映考生学术水平的与报考学科相关的科研课题</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一项</w:t>
      </w:r>
      <w:r>
        <w:rPr>
          <w:rFonts w:hint="eastAsia" w:ascii="华文仿宋" w:hAnsi="华文仿宋" w:eastAsia="华文仿宋" w:cs="华文仿宋"/>
          <w:i w:val="0"/>
          <w:iCs w:val="0"/>
          <w:caps w:val="0"/>
          <w:color w:val="333333"/>
          <w:spacing w:val="0"/>
          <w:sz w:val="24"/>
          <w:szCs w:val="24"/>
          <w:bdr w:val="none" w:color="auto" w:sz="0" w:space="0"/>
          <w:shd w:val="clear" w:fill="FFFFFF"/>
        </w:rPr>
        <w:t>（本人主持或主研省部级及以上项目，其他项目仅限本人主持），须提供立项证书或结项证书复印件一份。</w:t>
      </w:r>
    </w:p>
    <w:p w14:paraId="32CF76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（4）科研获奖：应为最能反映考生学术水平的与报考学科相关的科研获奖</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一项</w:t>
      </w:r>
      <w:r>
        <w:rPr>
          <w:rFonts w:hint="eastAsia" w:ascii="华文仿宋" w:hAnsi="华文仿宋" w:eastAsia="华文仿宋" w:cs="华文仿宋"/>
          <w:i w:val="0"/>
          <w:iCs w:val="0"/>
          <w:caps w:val="0"/>
          <w:color w:val="333333"/>
          <w:spacing w:val="0"/>
          <w:sz w:val="24"/>
          <w:szCs w:val="24"/>
          <w:bdr w:val="none" w:color="auto" w:sz="0" w:space="0"/>
          <w:shd w:val="clear" w:fill="FFFFFF"/>
        </w:rPr>
        <w:t>（本人为获奖人排名前五），须提供科研获奖证书复印件一份。</w:t>
      </w:r>
    </w:p>
    <w:p w14:paraId="53F4B8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9、外语水平证明材料：应为代表考生最高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上述</w:t>
      </w: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其中一项</w:t>
      </w:r>
      <w:r>
        <w:rPr>
          <w:rFonts w:hint="eastAsia" w:ascii="华文仿宋" w:hAnsi="华文仿宋" w:eastAsia="华文仿宋" w:cs="华文仿宋"/>
          <w:i w:val="0"/>
          <w:iCs w:val="0"/>
          <w:caps w:val="0"/>
          <w:color w:val="333333"/>
          <w:spacing w:val="0"/>
          <w:sz w:val="24"/>
          <w:szCs w:val="24"/>
          <w:bdr w:val="none" w:color="auto" w:sz="0" w:space="0"/>
          <w:shd w:val="clear" w:fill="FFFFFF"/>
        </w:rPr>
        <w:t>复印件一份。</w:t>
      </w:r>
    </w:p>
    <w:p w14:paraId="64A545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10、硕士毕业论文一份（应届毕业硕士生须提供详细的开题报告等和毕业论文初稿的复印件，两者缺一不可）。</w:t>
      </w:r>
    </w:p>
    <w:p w14:paraId="1BF48F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11、获奖证书：包括科研获奖、非科研类获奖两种，分别为考生获得的国家级、省部级、校级或其他奖项之一，须提供复印件一份。</w:t>
      </w:r>
    </w:p>
    <w:p w14:paraId="6B14F2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556" w:right="0" w:firstLine="420"/>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（三）材料评议</w:t>
      </w:r>
    </w:p>
    <w:p w14:paraId="2C8517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学院成立材料评议专家组。专家组成员不少于5人，由本学科副教授职称（含）或相当专业技术职务以上专家组成，其中博士生导师不少于3人。</w:t>
      </w:r>
    </w:p>
    <w:p w14:paraId="0B0E78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765A4B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（四）学术潜质测试</w:t>
      </w:r>
    </w:p>
    <w:p w14:paraId="7D47EA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普通招考考生须进行学术潜质测试，直接攻博和硕博连读考生可免测试。</w:t>
      </w:r>
    </w:p>
    <w:p w14:paraId="07AC09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学术潜质测试由学校统一组织，对考生的逻辑思维能力、分析性写作和论证性写作进行考查。经测验达到合格标准的考生可进入综合考核环节。</w:t>
      </w:r>
    </w:p>
    <w:p w14:paraId="189C15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（五）综合考核</w:t>
      </w:r>
    </w:p>
    <w:p w14:paraId="2E5587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学院按照学科并结合考生人数，成立综合考核专家组。考核组成员不少于5人，由本学科副教授职称（含）或相当专业技术职务以上专家组成，其中博士生导师不少于3人。</w:t>
      </w:r>
    </w:p>
    <w:p w14:paraId="25EF36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综合考核包括笔试、面试、思想政治素质与品德考核，考核时间及相关事项另行通知。</w:t>
      </w:r>
    </w:p>
    <w:p w14:paraId="5740AC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1、笔试：满分为100分。笔试内容为概率论与数理统计、运筹学，主要考查考生对相关理论知识的掌握程度及运用能力。笔试在国家教育考试标准化考场进行，时间为3小时。</w:t>
      </w:r>
    </w:p>
    <w:p w14:paraId="066C53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2、面试：满分为100分。面试主要围绕考生对《攻读博士学位研究生研究计划书》的陈述而展开，主要考查考生的专业素养、科研能力、创新潜质、外语水平和综合素质等，考查内容包括：</w:t>
      </w:r>
    </w:p>
    <w:p w14:paraId="2EC7A9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（1）专业素养：考查考生对专业知识的掌握程度，综合运用所学知识解决问题的能力等。</w:t>
      </w:r>
    </w:p>
    <w:p w14:paraId="308C76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（2）科研能力：考查考生是否具备基础的科研素养与潜能，独立思考、探究、解决问题的能力，以及对本学科前沿知识和最新研究动态的了解情况等。</w:t>
      </w:r>
    </w:p>
    <w:p w14:paraId="418B77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（3）创新潜质：结合考生学术研究经历，考查考生的科研创新能力，是否具备本学科博士研究生的培养潜质。</w:t>
      </w:r>
    </w:p>
    <w:p w14:paraId="1CA486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（4）外语水平：考查考生英语知识掌握程度及英语交流沟通能力。</w:t>
      </w:r>
    </w:p>
    <w:p w14:paraId="340109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（5）综合素质：重点考查考生的思维和语言表达能力、创新意识、团队精神和协作能力、身心健康等。</w:t>
      </w:r>
    </w:p>
    <w:p w14:paraId="0CDCC5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r>
        <w:rPr>
          <w:rFonts w:hint="eastAsia" w:ascii="华文仿宋" w:hAnsi="华文仿宋" w:eastAsia="华文仿宋" w:cs="华文仿宋"/>
          <w:i w:val="0"/>
          <w:iCs w:val="0"/>
          <w:caps w:val="0"/>
          <w:color w:val="333333"/>
          <w:spacing w:val="0"/>
          <w:sz w:val="24"/>
          <w:szCs w:val="24"/>
          <w:bdr w:val="none" w:color="auto" w:sz="0" w:space="0"/>
          <w:shd w:val="clear" w:fill="FFFFFF"/>
        </w:rPr>
        <w:t>   每位考生面试时间一般不少于30分钟，请提前准备20分钟的研究计划PPT，面试结束后由专家当场独立打分。面试严格执行“随机确定考生面试次序”“随机确定面试组组成人员”的工作机制。</w:t>
      </w:r>
    </w:p>
    <w:p w14:paraId="21DBED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4502DD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五、成绩计算及录取</w:t>
      </w:r>
    </w:p>
    <w:p w14:paraId="6F09DC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（一）总成绩计算</w:t>
      </w:r>
    </w:p>
    <w:p w14:paraId="6C92BF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综合考核成绩=笔试成绩*50%+面试成绩*50%</w:t>
      </w:r>
    </w:p>
    <w:p w14:paraId="2C1C12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（各项成绩均四舍五入精确到小数点后两位）</w:t>
      </w:r>
    </w:p>
    <w:p w14:paraId="49FA78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（二）录取</w:t>
      </w:r>
    </w:p>
    <w:p w14:paraId="64677B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1、录取原则</w:t>
      </w:r>
    </w:p>
    <w:p w14:paraId="693591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依据“全面衡量、择优录取、保证质量、宁缺毋滥”的原则进行。</w:t>
      </w:r>
    </w:p>
    <w:p w14:paraId="53EC7D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2、录取办法</w:t>
      </w:r>
    </w:p>
    <w:p w14:paraId="5A4259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jc w:val="both"/>
      </w:pPr>
      <w:r>
        <w:rPr>
          <w:rFonts w:hint="eastAsia" w:ascii="华文仿宋" w:hAnsi="华文仿宋" w:eastAsia="华文仿宋" w:cs="华文仿宋"/>
          <w:i w:val="0"/>
          <w:iCs w:val="0"/>
          <w:caps w:val="0"/>
          <w:color w:val="333333"/>
          <w:spacing w:val="0"/>
          <w:sz w:val="24"/>
          <w:szCs w:val="24"/>
          <w:bdr w:val="none" w:color="auto" w:sz="0" w:space="0"/>
          <w:shd w:val="clear" w:fill="FFFFFF"/>
        </w:rPr>
        <w:t>（1）根据学校下达的招生计划，在合格生源中，依据考生的综合考核成绩由高到低依次排序录取。综合考核成绩相同的情况下（小数点后两位），笔试成绩较高的考生优先录取。</w:t>
      </w:r>
    </w:p>
    <w:p w14:paraId="081456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jc w:val="both"/>
      </w:pPr>
      <w:r>
        <w:rPr>
          <w:rFonts w:hint="eastAsia" w:ascii="华文仿宋" w:hAnsi="华文仿宋" w:eastAsia="华文仿宋" w:cs="华文仿宋"/>
          <w:i w:val="0"/>
          <w:iCs w:val="0"/>
          <w:caps w:val="0"/>
          <w:color w:val="333333"/>
          <w:spacing w:val="0"/>
          <w:sz w:val="24"/>
          <w:szCs w:val="24"/>
          <w:bdr w:val="none" w:color="auto" w:sz="0" w:space="0"/>
          <w:shd w:val="clear" w:fill="FFFFFF"/>
        </w:rPr>
        <w:t>（2）严格控制录取结构。定向考生和非定向考生分别排序，分类录取。</w:t>
      </w:r>
    </w:p>
    <w:p w14:paraId="184A70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jc w:val="both"/>
      </w:pPr>
      <w:r>
        <w:rPr>
          <w:rFonts w:hint="eastAsia" w:ascii="华文仿宋" w:hAnsi="华文仿宋" w:eastAsia="华文仿宋" w:cs="华文仿宋"/>
          <w:i w:val="0"/>
          <w:iCs w:val="0"/>
          <w:caps w:val="0"/>
          <w:color w:val="333333"/>
          <w:spacing w:val="0"/>
          <w:sz w:val="24"/>
          <w:szCs w:val="24"/>
          <w:bdr w:val="none" w:color="auto" w:sz="0" w:space="0"/>
          <w:shd w:val="clear" w:fill="FFFFFF"/>
        </w:rPr>
        <w:t>（3）专项计划执行学校录取的相关规定。</w:t>
      </w:r>
    </w:p>
    <w:p w14:paraId="23F358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555"/>
        <w:jc w:val="both"/>
      </w:pPr>
      <w:r>
        <w:rPr>
          <w:rFonts w:hint="eastAsia" w:ascii="华文仿宋" w:hAnsi="华文仿宋" w:eastAsia="华文仿宋" w:cs="华文仿宋"/>
          <w:i w:val="0"/>
          <w:iCs w:val="0"/>
          <w:caps w:val="0"/>
          <w:color w:val="333333"/>
          <w:spacing w:val="0"/>
          <w:sz w:val="24"/>
          <w:szCs w:val="24"/>
          <w:bdr w:val="none" w:color="auto" w:sz="0" w:space="0"/>
          <w:shd w:val="clear" w:fill="FFFFFF"/>
        </w:rPr>
        <w:t>（4）综合考核成绩低于60分；或思想政治素质与品德考核不合格者不予录取。</w:t>
      </w:r>
    </w:p>
    <w:p w14:paraId="62803A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420" w:right="0" w:firstLine="0"/>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（三）调剂</w:t>
      </w:r>
    </w:p>
    <w:p w14:paraId="184D1B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综合考核成绩排名在招生计划数内，因报考导师招生名额不足的考生可以申请调剂。</w:t>
      </w:r>
    </w:p>
    <w:p w14:paraId="348DFA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六、信息公开</w:t>
      </w:r>
    </w:p>
    <w:p w14:paraId="7DF25B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70AFC6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Fonts w:hint="eastAsia" w:ascii="华文仿宋" w:hAnsi="华文仿宋" w:eastAsia="华文仿宋" w:cs="华文仿宋"/>
          <w:i w:val="0"/>
          <w:iCs w:val="0"/>
          <w:caps w:val="0"/>
          <w:color w:val="333333"/>
          <w:spacing w:val="0"/>
          <w:sz w:val="24"/>
          <w:szCs w:val="24"/>
          <w:bdr w:val="none" w:color="auto" w:sz="0" w:space="0"/>
          <w:shd w:val="clear" w:fill="FFFFFF"/>
        </w:rPr>
        <w:t>考生咨询及申诉渠道：陈老师 028-87081979</w:t>
      </w:r>
    </w:p>
    <w:p w14:paraId="02D4AA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555"/>
      </w:pPr>
      <w:r>
        <w:rPr>
          <w:rStyle w:val="9"/>
          <w:rFonts w:hint="eastAsia" w:ascii="华文仿宋" w:hAnsi="华文仿宋" w:eastAsia="华文仿宋" w:cs="华文仿宋"/>
          <w:b/>
          <w:bCs/>
          <w:i w:val="0"/>
          <w:iCs w:val="0"/>
          <w:caps w:val="0"/>
          <w:color w:val="333333"/>
          <w:spacing w:val="0"/>
          <w:sz w:val="24"/>
          <w:szCs w:val="24"/>
          <w:bdr w:val="none" w:color="auto" w:sz="0" w:space="0"/>
          <w:shd w:val="clear" w:fill="FFFFFF"/>
        </w:rPr>
        <w:t>七、本规定自公布之日起实施。如有本办法规定明显与学校强制性规定相冲突者，适用学校办法。</w:t>
      </w:r>
    </w:p>
    <w:p w14:paraId="32ABBB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pPr>
    </w:p>
    <w:p w14:paraId="311F46D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FFFFF"/>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instrText xml:space="preserve"> HYPERLINK "https://gk.swufe.edu.cn/system/_content/download.jsp?urltype=news.DownloadAttachUrl&amp;owner=1975186649&amp;wbfileid=EB423DBB09A4C99E69CE49111D53D66F" \t "https://gk.swufe.edu.cn/info/1103/_blank"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18"/>
          <w:szCs w:val="18"/>
          <w:u w:val="none"/>
          <w:bdr w:val="none" w:color="auto" w:sz="0" w:space="0"/>
          <w:shd w:val="clear" w:fill="FFFFFF"/>
        </w:rPr>
        <w:t>附件2：专家推荐书.pdf</w: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FFFFF"/>
        </w:rPr>
        <w:t>】已下载26次</w:t>
      </w:r>
    </w:p>
    <w:p w14:paraId="4A596C0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FFFFF"/>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instrText xml:space="preserve"> HYPERLINK "https://gk.swufe.edu.cn/system/_content/download.jsp?urltype=news.DownloadAttachUrl&amp;owner=1975186649&amp;wbfileid=4E98A74EE8F6E381BFD8CDC84C805167" \t "https://gk.swufe.edu.cn/info/1103/_blank"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18"/>
          <w:szCs w:val="18"/>
          <w:u w:val="none"/>
          <w:bdr w:val="none" w:color="auto" w:sz="0" w:space="0"/>
          <w:shd w:val="clear" w:fill="FFFFFF"/>
        </w:rPr>
        <w:t>附件3：西南财经大学攻读博士学位研究计划书.pdf</w: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FFFFF"/>
        </w:rPr>
        <w:t>】已下载28次</w:t>
      </w:r>
    </w:p>
    <w:p w14:paraId="3A03A22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shd w:val="clear" w:fill="FFFFFF"/>
        </w:rPr>
        <w:t>附件【</w: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instrText xml:space="preserve"> HYPERLINK "https://gk.swufe.edu.cn/system/_content/download.jsp?urltype=news.DownloadAttachUrl&amp;owner=1975186649&amp;wbfileid=F54F4D4FBDE72118D3D8CEC95B109F08" \t "https://gk.swufe.edu.cn/info/1103/_blank" </w:instrTex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18"/>
          <w:szCs w:val="18"/>
          <w:u w:val="none"/>
          <w:bdr w:val="none" w:color="auto" w:sz="0" w:space="0"/>
          <w:shd w:val="clear" w:fill="FFFFFF"/>
        </w:rPr>
        <w:t>附件1：西南财经大学2025年攻读博士学位研究生报名登记表.pdf</w:t>
      </w: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18"/>
          <w:szCs w:val="18"/>
          <w:bdr w:val="none" w:color="auto" w:sz="0" w:space="0"/>
          <w:shd w:val="clear" w:fill="FFFFFF"/>
        </w:rPr>
        <w:t>】已下载29次</w:t>
      </w:r>
    </w:p>
    <w:p w14:paraId="76DB4F44">
      <w:pPr>
        <w:rPr>
          <w:rFonts w:hint="eastAsia" w:ascii="Arial" w:hAnsi="Arial" w:eastAsia="宋体" w:cs="Arial"/>
          <w:b/>
          <w:bCs/>
          <w:i w:val="0"/>
          <w:iCs w:val="0"/>
          <w:caps w:val="0"/>
          <w:color w:val="333333"/>
          <w:spacing w:val="0"/>
          <w:sz w:val="37"/>
          <w:szCs w:val="3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91D2F"/>
    <w:multiLevelType w:val="multilevel"/>
    <w:tmpl w:val="53A91D2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4F5551B4"/>
    <w:rsid w:val="520B222A"/>
    <w:rsid w:val="555A2916"/>
    <w:rsid w:val="5C817DCF"/>
    <w:rsid w:val="620713E0"/>
    <w:rsid w:val="661D1895"/>
    <w:rsid w:val="6B483A91"/>
    <w:rsid w:val="6DFB0A7C"/>
    <w:rsid w:val="757A7C49"/>
    <w:rsid w:val="757D0BCD"/>
    <w:rsid w:val="76D90E8A"/>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C81897A7F9604A39B5336BB0E8F506B3_13</vt:lpwstr>
  </property>
</Properties>
</file>