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ascii="微软雅黑" w:hAnsi="微软雅黑" w:eastAsia="微软雅黑" w:cs="微软雅黑"/>
          <w:b/>
          <w:bCs/>
          <w:i w:val="0"/>
          <w:iCs w:val="0"/>
          <w:caps w:val="0"/>
          <w:color w:val="000000"/>
          <w:spacing w:val="0"/>
          <w:sz w:val="33"/>
          <w:szCs w:val="33"/>
        </w:rPr>
      </w:pPr>
      <w:r>
        <w:rPr>
          <w:rFonts w:hint="eastAsia" w:ascii="微软雅黑" w:hAnsi="微软雅黑" w:eastAsia="微软雅黑" w:cs="微软雅黑"/>
          <w:b/>
          <w:bCs/>
          <w:i w:val="0"/>
          <w:iCs w:val="0"/>
          <w:caps w:val="0"/>
          <w:color w:val="000000"/>
          <w:spacing w:val="0"/>
          <w:sz w:val="33"/>
          <w:szCs w:val="33"/>
          <w:bdr w:val="none" w:color="auto" w:sz="0" w:space="0"/>
          <w:shd w:val="clear" w:fill="FFFFFF"/>
        </w:rPr>
        <w:t>电子科技大学公共管理学院2024年博士研究生招生工作通知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根据《电子科技大学</w:t>
      </w:r>
      <w:r>
        <w:rPr>
          <w:rFonts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年博士研究生招生简章》和学校</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年博士生招生工作有关通知的要求，现将公共管理学院</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年博士研究生招生工作相关安排通知如下：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555"/>
        <w:rPr>
          <w:rFonts w:hint="eastAsia" w:ascii="微软雅黑" w:hAnsi="微软雅黑" w:eastAsia="微软雅黑" w:cs="微软雅黑"/>
          <w:i w:val="0"/>
          <w:iCs w:val="0"/>
          <w:caps w:val="0"/>
          <w:color w:val="000000"/>
          <w:spacing w:val="0"/>
          <w:sz w:val="21"/>
          <w:szCs w:val="21"/>
        </w:rPr>
      </w:pPr>
      <w:r>
        <w:rPr>
          <w:rStyle w:val="8"/>
          <w:rFonts w:ascii="黑体" w:hAnsi="宋体" w:eastAsia="黑体" w:cs="黑体"/>
          <w:i w:val="0"/>
          <w:iCs w:val="0"/>
          <w:caps w:val="0"/>
          <w:color w:val="000000"/>
          <w:spacing w:val="0"/>
          <w:sz w:val="28"/>
          <w:szCs w:val="28"/>
          <w:bdr w:val="none" w:color="auto" w:sz="0" w:space="0"/>
          <w:shd w:val="clear" w:fill="FFFFFF"/>
        </w:rPr>
        <w:t>一、招生专业及计划</w:t>
      </w:r>
    </w:p>
    <w:p>
      <w:r>
        <w:drawing>
          <wp:inline distT="0" distB="0" distL="114300" distR="114300">
            <wp:extent cx="5272405" cy="655955"/>
            <wp:effectExtent l="0" t="0" r="4445" b="10795"/>
            <wp:docPr id="4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8"/>
                    <pic:cNvPicPr>
                      <a:picLocks noChangeAspect="1"/>
                    </pic:cNvPicPr>
                  </pic:nvPicPr>
                  <pic:blipFill>
                    <a:blip r:embed="rId4"/>
                    <a:stretch>
                      <a:fillRect/>
                    </a:stretch>
                  </pic:blipFill>
                  <pic:spPr>
                    <a:xfrm>
                      <a:off x="0" y="0"/>
                      <a:ext cx="5272405" cy="65595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特别说明：拟招生人数是根据学院</w:t>
      </w:r>
      <w:r>
        <w:rPr>
          <w:rFonts w:ascii="微软雅黑" w:hAnsi="微软雅黑" w:eastAsia="微软雅黑" w:cs="微软雅黑"/>
          <w:i w:val="0"/>
          <w:iCs w:val="0"/>
          <w:caps w:val="0"/>
          <w:color w:val="000000"/>
          <w:spacing w:val="0"/>
          <w:sz w:val="28"/>
          <w:szCs w:val="28"/>
          <w:bdr w:val="none" w:color="auto" w:sz="0" w:space="0"/>
          <w:shd w:val="clear" w:fill="FFFFFF"/>
          <w:lang w:val="en-US"/>
        </w:rPr>
        <w:t>2023</w:t>
      </w:r>
      <w:r>
        <w:rPr>
          <w:rFonts w:hint="eastAsia" w:ascii="宋体" w:hAnsi="宋体" w:eastAsia="宋体" w:cs="宋体"/>
          <w:i w:val="0"/>
          <w:iCs w:val="0"/>
          <w:caps w:val="0"/>
          <w:color w:val="000000"/>
          <w:spacing w:val="0"/>
          <w:sz w:val="28"/>
          <w:szCs w:val="28"/>
          <w:bdr w:val="none" w:color="auto" w:sz="0" w:space="0"/>
          <w:shd w:val="clear" w:fill="FFFFFF"/>
        </w:rPr>
        <w:t>年招生人数（含普通招考、硕博连读、直接攻博）约</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80%</w:t>
      </w:r>
      <w:r>
        <w:rPr>
          <w:rFonts w:hint="eastAsia" w:ascii="宋体" w:hAnsi="宋体" w:eastAsia="宋体" w:cs="宋体"/>
          <w:i w:val="0"/>
          <w:iCs w:val="0"/>
          <w:caps w:val="0"/>
          <w:color w:val="000000"/>
          <w:spacing w:val="0"/>
          <w:sz w:val="28"/>
          <w:szCs w:val="28"/>
          <w:bdr w:val="none" w:color="auto" w:sz="0" w:space="0"/>
          <w:shd w:val="clear" w:fill="FFFFFF"/>
        </w:rPr>
        <w:t>测算，仅供参考。</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年学院博士生招生计划具体情况将以学校实际分配为准，一般在复试前确定。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招生计划相关要求按照学校有关规定和《电子科技大学</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年博士研究生招生简章》中的有关说明执行。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555"/>
        <w:rPr>
          <w:rFonts w:hint="eastAsia" w:ascii="微软雅黑" w:hAnsi="微软雅黑" w:eastAsia="微软雅黑" w:cs="微软雅黑"/>
          <w:i w:val="0"/>
          <w:iCs w:val="0"/>
          <w:caps w:val="0"/>
          <w:color w:val="000000"/>
          <w:spacing w:val="0"/>
          <w:sz w:val="21"/>
          <w:szCs w:val="21"/>
        </w:rPr>
      </w:pPr>
      <w:r>
        <w:rPr>
          <w:rStyle w:val="8"/>
          <w:rFonts w:ascii="黑体" w:hAnsi="宋体" w:eastAsia="黑体" w:cs="黑体"/>
          <w:i w:val="0"/>
          <w:iCs w:val="0"/>
          <w:caps w:val="0"/>
          <w:color w:val="000000"/>
          <w:spacing w:val="0"/>
          <w:sz w:val="28"/>
          <w:szCs w:val="28"/>
          <w:bdr w:val="none" w:color="auto" w:sz="0" w:space="0"/>
          <w:shd w:val="clear" w:fill="FFFFFF"/>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（一）普通招考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、符合《电子科技大学</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年博士研究生招生简章》中要求的基本条件。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年本专业仅招收普通招考考生，暂不通过直博、硕博连读方式选拔。本专业不招收同等学力考生。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、按照学校有关要求，定向就业博士生录取人数不超过</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人。若录取为定向就业，则需承诺保证脱产在校全日制攻读博士学位。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4</w:t>
      </w:r>
      <w:r>
        <w:rPr>
          <w:rFonts w:hint="eastAsia" w:ascii="宋体" w:hAnsi="宋体" w:eastAsia="宋体" w:cs="宋体"/>
          <w:i w:val="0"/>
          <w:iCs w:val="0"/>
          <w:caps w:val="0"/>
          <w:color w:val="000000"/>
          <w:spacing w:val="0"/>
          <w:sz w:val="28"/>
          <w:szCs w:val="28"/>
          <w:bdr w:val="none" w:color="auto" w:sz="0" w:space="0"/>
          <w:shd w:val="clear" w:fill="FFFFFF"/>
        </w:rPr>
        <w:t>、符合以下条件：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）外语水平：国家英语六级成绩</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425</w:t>
      </w:r>
      <w:r>
        <w:rPr>
          <w:rFonts w:hint="eastAsia" w:ascii="宋体" w:hAnsi="宋体" w:eastAsia="宋体" w:cs="宋体"/>
          <w:i w:val="0"/>
          <w:iCs w:val="0"/>
          <w:caps w:val="0"/>
          <w:color w:val="000000"/>
          <w:spacing w:val="0"/>
          <w:sz w:val="28"/>
          <w:szCs w:val="28"/>
          <w:bdr w:val="none" w:color="auto" w:sz="0" w:space="0"/>
          <w:shd w:val="clear" w:fill="FFFFFF"/>
        </w:rPr>
        <w:t>分及以上或托福</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85</w:t>
      </w:r>
      <w:r>
        <w:rPr>
          <w:rFonts w:hint="eastAsia" w:ascii="宋体" w:hAnsi="宋体" w:eastAsia="宋体" w:cs="宋体"/>
          <w:i w:val="0"/>
          <w:iCs w:val="0"/>
          <w:caps w:val="0"/>
          <w:color w:val="000000"/>
          <w:spacing w:val="0"/>
          <w:sz w:val="28"/>
          <w:szCs w:val="28"/>
          <w:bdr w:val="none" w:color="auto" w:sz="0" w:space="0"/>
          <w:shd w:val="clear" w:fill="FFFFFF"/>
        </w:rPr>
        <w:t>分及以上或雅思</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6.0</w:t>
      </w:r>
      <w:r>
        <w:rPr>
          <w:rFonts w:hint="eastAsia" w:ascii="宋体" w:hAnsi="宋体" w:eastAsia="宋体" w:cs="宋体"/>
          <w:i w:val="0"/>
          <w:iCs w:val="0"/>
          <w:caps w:val="0"/>
          <w:color w:val="000000"/>
          <w:spacing w:val="0"/>
          <w:sz w:val="28"/>
          <w:szCs w:val="28"/>
          <w:bdr w:val="none" w:color="auto" w:sz="0" w:space="0"/>
          <w:shd w:val="clear" w:fill="FFFFFF"/>
        </w:rPr>
        <w:t>及以上或专业英语四级以上考试达到合格成绩。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）具备浓厚的学术研究兴趣、较强的学术潜力和科研能力。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555"/>
        <w:rPr>
          <w:rFonts w:hint="eastAsia" w:ascii="微软雅黑" w:hAnsi="微软雅黑" w:eastAsia="微软雅黑" w:cs="微软雅黑"/>
          <w:i w:val="0"/>
          <w:iCs w:val="0"/>
          <w:caps w:val="0"/>
          <w:color w:val="000000"/>
          <w:spacing w:val="0"/>
          <w:sz w:val="21"/>
          <w:szCs w:val="21"/>
        </w:rPr>
      </w:pPr>
      <w:r>
        <w:rPr>
          <w:rStyle w:val="8"/>
          <w:rFonts w:hint="eastAsia" w:ascii="黑体" w:hAnsi="宋体" w:eastAsia="黑体" w:cs="黑体"/>
          <w:i w:val="0"/>
          <w:iCs w:val="0"/>
          <w:caps w:val="0"/>
          <w:color w:val="000000"/>
          <w:spacing w:val="0"/>
          <w:sz w:val="28"/>
          <w:szCs w:val="28"/>
          <w:bdr w:val="none" w:color="auto" w:sz="0" w:space="0"/>
          <w:shd w:val="clear" w:fill="FFFFFF"/>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网上报名开始时间预计为</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月。具体时间详见后续学校发布的</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年博士生报名通知。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考生报名前务必仔细阅读《电子科技大学</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年博士研究生招生简章》和学校或学院发布的博士生招生报名有关通知，按要求完成网上报名和交费。未在规定时间内完成网上报名和交费的信息视为无效信息。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555"/>
        <w:rPr>
          <w:rFonts w:hint="eastAsia" w:ascii="微软雅黑" w:hAnsi="微软雅黑" w:eastAsia="微软雅黑" w:cs="微软雅黑"/>
          <w:i w:val="0"/>
          <w:iCs w:val="0"/>
          <w:caps w:val="0"/>
          <w:color w:val="000000"/>
          <w:spacing w:val="0"/>
          <w:sz w:val="21"/>
          <w:szCs w:val="21"/>
        </w:rPr>
      </w:pPr>
      <w:r>
        <w:rPr>
          <w:rStyle w:val="8"/>
          <w:rFonts w:hint="eastAsia" w:ascii="黑体" w:hAnsi="宋体" w:eastAsia="黑体" w:cs="黑体"/>
          <w:i w:val="0"/>
          <w:iCs w:val="0"/>
          <w:caps w:val="0"/>
          <w:color w:val="000000"/>
          <w:spacing w:val="0"/>
          <w:sz w:val="28"/>
          <w:szCs w:val="28"/>
          <w:bdr w:val="none" w:color="auto" w:sz="0" w:space="0"/>
          <w:shd w:val="clear" w:fill="FFFFFF"/>
        </w:rPr>
        <w:t>四、申请材料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请考生完成网上报名后认真准备申请材料，并按顺序整理后将申请材料提交（或寄送）到公共管理学院研究生科。逾期或提交材料不全者，按放弃处理。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报名材料提交时间预计为</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月，材料提交时间、接收地址、邮编、联系人及电话等信息请以学校或学院报名前发布的有关通知为准。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以下材料除寄送纸质档外，还需提交电子档或扫描件至</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spa_yjs@126.com</w:t>
      </w:r>
      <w:r>
        <w:rPr>
          <w:rFonts w:hint="eastAsia" w:ascii="宋体" w:hAnsi="宋体" w:eastAsia="宋体" w:cs="宋体"/>
          <w:i w:val="0"/>
          <w:iCs w:val="0"/>
          <w:caps w:val="0"/>
          <w:color w:val="000000"/>
          <w:spacing w:val="0"/>
          <w:sz w:val="28"/>
          <w:szCs w:val="28"/>
          <w:bdr w:val="none" w:color="auto" w:sz="0" w:space="0"/>
          <w:shd w:val="clear" w:fill="FFFFFF"/>
        </w:rPr>
        <w:t>。所有材料请按顺序整理，并制作目录清单，打包压缩后以“考生姓名</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报考研究方向名称”命名，如：“张三</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公共政策”。</w:t>
      </w:r>
    </w:p>
    <w:p>
      <w:r>
        <w:drawing>
          <wp:inline distT="0" distB="0" distL="114300" distR="114300">
            <wp:extent cx="5269230" cy="5509895"/>
            <wp:effectExtent l="0" t="0" r="7620" b="14605"/>
            <wp:docPr id="46"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9"/>
                    <pic:cNvPicPr>
                      <a:picLocks noChangeAspect="1"/>
                    </pic:cNvPicPr>
                  </pic:nvPicPr>
                  <pic:blipFill>
                    <a:blip r:embed="rId5"/>
                    <a:stretch>
                      <a:fillRect/>
                    </a:stretch>
                  </pic:blipFill>
                  <pic:spPr>
                    <a:xfrm>
                      <a:off x="0" y="0"/>
                      <a:ext cx="5269230" cy="5509895"/>
                    </a:xfrm>
                    <a:prstGeom prst="rect">
                      <a:avLst/>
                    </a:prstGeom>
                    <a:noFill/>
                    <a:ln>
                      <a:noFill/>
                    </a:ln>
                  </pic:spPr>
                </pic:pic>
              </a:graphicData>
            </a:graphic>
          </wp:inline>
        </w:drawing>
      </w:r>
    </w:p>
    <w:p>
      <w:r>
        <w:drawing>
          <wp:inline distT="0" distB="0" distL="114300" distR="114300">
            <wp:extent cx="5269230" cy="5183505"/>
            <wp:effectExtent l="0" t="0" r="7620" b="17145"/>
            <wp:docPr id="47"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0"/>
                    <pic:cNvPicPr>
                      <a:picLocks noChangeAspect="1"/>
                    </pic:cNvPicPr>
                  </pic:nvPicPr>
                  <pic:blipFill>
                    <a:blip r:embed="rId6"/>
                    <a:stretch>
                      <a:fillRect/>
                    </a:stretch>
                  </pic:blipFill>
                  <pic:spPr>
                    <a:xfrm>
                      <a:off x="0" y="0"/>
                      <a:ext cx="5269230" cy="518350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ascii="微软雅黑" w:hAnsi="微软雅黑" w:eastAsia="微软雅黑" w:cs="微软雅黑"/>
          <w:i w:val="0"/>
          <w:iCs w:val="0"/>
          <w:caps w:val="0"/>
          <w:color w:val="000000"/>
          <w:spacing w:val="0"/>
          <w:sz w:val="21"/>
          <w:szCs w:val="21"/>
        </w:rPr>
      </w:pPr>
      <w:r>
        <w:rPr>
          <w:rStyle w:val="8"/>
          <w:rFonts w:ascii="黑体" w:hAnsi="宋体" w:eastAsia="黑体" w:cs="黑体"/>
          <w:i w:val="0"/>
          <w:iCs w:val="0"/>
          <w:caps w:val="0"/>
          <w:color w:val="000000"/>
          <w:spacing w:val="0"/>
          <w:sz w:val="28"/>
          <w:szCs w:val="28"/>
          <w:bdr w:val="none" w:color="auto" w:sz="0" w:space="0"/>
          <w:shd w:val="clear" w:fill="FFFFFF"/>
        </w:rPr>
        <w:t>五、报考资格审核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Style w:val="8"/>
          <w:rFonts w:hint="eastAsia" w:ascii="黑体" w:hAnsi="宋体" w:eastAsia="黑体" w:cs="黑体"/>
          <w:i w:val="0"/>
          <w:iCs w:val="0"/>
          <w:caps w:val="0"/>
          <w:color w:val="000000"/>
          <w:spacing w:val="0"/>
          <w:sz w:val="28"/>
          <w:szCs w:val="28"/>
          <w:bdr w:val="none" w:color="auto" w:sz="0" w:space="0"/>
          <w:shd w:val="clear" w:fill="FFFFFF"/>
        </w:rPr>
        <w:t>六、复试资格审核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学院根据材料评议结果择优确定参加复试考核名单并公布。材料评议结果作为复试录取环节的重要参考依据之一。材料评议工作预计在</w:t>
      </w:r>
      <w:r>
        <w:rPr>
          <w:rFonts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4-5</w:t>
      </w:r>
      <w:r>
        <w:rPr>
          <w:rFonts w:hint="eastAsia" w:ascii="宋体" w:hAnsi="宋体" w:eastAsia="宋体" w:cs="宋体"/>
          <w:i w:val="0"/>
          <w:iCs w:val="0"/>
          <w:caps w:val="0"/>
          <w:color w:val="000000"/>
          <w:spacing w:val="0"/>
          <w:sz w:val="28"/>
          <w:szCs w:val="28"/>
          <w:bdr w:val="none" w:color="auto" w:sz="0" w:space="0"/>
          <w:shd w:val="clear" w:fill="FFFFFF"/>
        </w:rPr>
        <w:t>月初进行，请考生密切关注我单位网站相关通知。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Style w:val="8"/>
          <w:rFonts w:hint="eastAsia" w:ascii="黑体" w:hAnsi="宋体" w:eastAsia="黑体" w:cs="黑体"/>
          <w:i w:val="0"/>
          <w:iCs w:val="0"/>
          <w:caps w:val="0"/>
          <w:color w:val="000000"/>
          <w:spacing w:val="0"/>
          <w:sz w:val="28"/>
          <w:szCs w:val="28"/>
          <w:bdr w:val="none" w:color="auto" w:sz="0" w:space="0"/>
          <w:shd w:val="clear" w:fill="FFFFFF"/>
        </w:rPr>
        <w:t>七、复试录取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bookmarkStart w:id="0" w:name="OLE_LINK20"/>
      <w:bookmarkEnd w:id="0"/>
      <w:r>
        <w:rPr>
          <w:rFonts w:hint="eastAsia" w:ascii="宋体" w:hAnsi="宋体" w:eastAsia="宋体" w:cs="宋体"/>
          <w:i w:val="0"/>
          <w:iCs w:val="0"/>
          <w:caps w:val="0"/>
          <w:color w:val="000000"/>
          <w:spacing w:val="0"/>
          <w:sz w:val="28"/>
          <w:szCs w:val="28"/>
          <w:bdr w:val="none" w:color="auto" w:sz="0" w:space="0"/>
          <w:shd w:val="clear" w:fill="FFFFFF"/>
        </w:rPr>
        <w:t>经学院审核达到复试考核要求的普通招考考生可参加复试。复试比例一般不低于</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120%</w:t>
      </w:r>
      <w:r>
        <w:rPr>
          <w:rFonts w:hint="eastAsia" w:ascii="宋体" w:hAnsi="宋体" w:eastAsia="宋体" w:cs="宋体"/>
          <w:i w:val="0"/>
          <w:iCs w:val="0"/>
          <w:caps w:val="0"/>
          <w:color w:val="000000"/>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复试采用面试方式进行，每位考生一般不少于</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30</w:t>
      </w:r>
      <w:r>
        <w:rPr>
          <w:rFonts w:hint="eastAsia" w:ascii="宋体" w:hAnsi="宋体" w:eastAsia="宋体" w:cs="宋体"/>
          <w:i w:val="0"/>
          <w:iCs w:val="0"/>
          <w:caps w:val="0"/>
          <w:color w:val="000000"/>
          <w:spacing w:val="0"/>
          <w:sz w:val="28"/>
          <w:szCs w:val="28"/>
          <w:bdr w:val="none" w:color="auto" w:sz="0" w:space="0"/>
          <w:shd w:val="clear" w:fill="FFFFFF"/>
        </w:rPr>
        <w:t>分钟。考核内容主要包括：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学术素养：主要考查候选人的专业基础、知识结构、学术研究兴趣及研究能力等，是否具备本学科博士研究生应具备的专业知识基础及学术研究能力。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外语水平：主要考查候选人是否达到本学科博士研究生应具备的外语应用能力，包括文献阅读、摘要写作、口语和听力等。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培养潜质：结合候选人学术研究经历，考查科研创新能力，是否具备本学科博士研究生的培养潜质。以</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PPT</w:t>
      </w:r>
      <w:r>
        <w:rPr>
          <w:rFonts w:hint="eastAsia" w:ascii="宋体" w:hAnsi="宋体" w:eastAsia="宋体" w:cs="宋体"/>
          <w:i w:val="0"/>
          <w:iCs w:val="0"/>
          <w:caps w:val="0"/>
          <w:color w:val="000000"/>
          <w:spacing w:val="0"/>
          <w:sz w:val="28"/>
          <w:szCs w:val="28"/>
          <w:bdr w:val="none" w:color="auto" w:sz="0" w:space="0"/>
          <w:shd w:val="clear" w:fill="FFFFFF"/>
        </w:rPr>
        <w:t>报告及口头问答形式，主要考查科研经历、科研成果，拟从事研究的学科领域及对研究方向的认识、研究思想和展望等。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跨一级学科报考的考生</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根据考生硕士阶段所学专业代码的前</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4</w:t>
      </w:r>
      <w:r>
        <w:rPr>
          <w:rFonts w:hint="eastAsia" w:ascii="宋体" w:hAnsi="宋体" w:eastAsia="宋体" w:cs="宋体"/>
          <w:i w:val="0"/>
          <w:iCs w:val="0"/>
          <w:caps w:val="0"/>
          <w:color w:val="000000"/>
          <w:spacing w:val="0"/>
          <w:sz w:val="28"/>
          <w:szCs w:val="28"/>
          <w:bdr w:val="none" w:color="auto" w:sz="0" w:space="0"/>
          <w:shd w:val="clear" w:fill="FFFFFF"/>
        </w:rPr>
        <w:t>位与报考专业代码的前</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4</w:t>
      </w:r>
      <w:r>
        <w:rPr>
          <w:rFonts w:hint="eastAsia" w:ascii="宋体" w:hAnsi="宋体" w:eastAsia="宋体" w:cs="宋体"/>
          <w:i w:val="0"/>
          <w:iCs w:val="0"/>
          <w:caps w:val="0"/>
          <w:color w:val="000000"/>
          <w:spacing w:val="0"/>
          <w:sz w:val="28"/>
          <w:szCs w:val="28"/>
          <w:bdr w:val="none" w:color="auto" w:sz="0" w:space="0"/>
          <w:shd w:val="clear" w:fill="FFFFFF"/>
        </w:rPr>
        <w:t>位是否相同，不同则为跨一级学科</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须加试两门硕士阶段专业课程相关科目：①西方行政管理理论专题 ②当代中国公共管理实践专题。加试采用面试的方式进行，每位考生一般不少于</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w:t>
      </w:r>
      <w:r>
        <w:rPr>
          <w:rFonts w:hint="eastAsia" w:ascii="宋体" w:hAnsi="宋体" w:eastAsia="宋体" w:cs="宋体"/>
          <w:i w:val="0"/>
          <w:iCs w:val="0"/>
          <w:caps w:val="0"/>
          <w:color w:val="000000"/>
          <w:spacing w:val="0"/>
          <w:sz w:val="28"/>
          <w:szCs w:val="28"/>
          <w:bdr w:val="none" w:color="auto" w:sz="0" w:space="0"/>
          <w:shd w:val="clear" w:fill="FFFFFF"/>
        </w:rPr>
        <w:t>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依据“全面衡量，择优录取，保证质量，宁缺勿滥”的原则，根据考生复试总成绩由高到低依次排序，结合博士生招生计划情况、材料评议结果以及思想政治素质和品德考核结果、体检结果等做出综合判断，提出拟录取名单，报学校研究生招生工作领导小组审定通过后按要求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复试总成绩合格（达到满分的</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60%</w:t>
      </w:r>
      <w:r>
        <w:rPr>
          <w:rFonts w:hint="eastAsia" w:ascii="宋体" w:hAnsi="宋体" w:eastAsia="宋体" w:cs="宋体"/>
          <w:i w:val="0"/>
          <w:iCs w:val="0"/>
          <w:caps w:val="0"/>
          <w:color w:val="000000"/>
          <w:spacing w:val="0"/>
          <w:sz w:val="28"/>
          <w:szCs w:val="28"/>
          <w:bdr w:val="none" w:color="auto" w:sz="0" w:space="0"/>
          <w:shd w:val="clear" w:fill="FFFFFF"/>
        </w:rPr>
        <w:t>）才能被录取。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加试成绩和思想政治理论成绩不计入复试总成绩</w:t>
      </w:r>
      <w:bookmarkStart w:id="1" w:name="_Hlk54683737"/>
      <w:bookmarkEnd w:id="1"/>
      <w:r>
        <w:rPr>
          <w:rFonts w:hint="eastAsia" w:ascii="宋体" w:hAnsi="宋体" w:eastAsia="宋体" w:cs="宋体"/>
          <w:i w:val="0"/>
          <w:iCs w:val="0"/>
          <w:caps w:val="0"/>
          <w:color w:val="000000"/>
          <w:spacing w:val="0"/>
          <w:sz w:val="28"/>
          <w:szCs w:val="28"/>
          <w:bdr w:val="none" w:color="auto" w:sz="0" w:space="0"/>
          <w:shd w:val="clear" w:fill="FFFFFF"/>
        </w:rPr>
        <w:t>，但成绩合格（各科成绩分别达到满分的</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60%</w:t>
      </w:r>
      <w:r>
        <w:rPr>
          <w:rFonts w:hint="eastAsia" w:ascii="宋体" w:hAnsi="宋体" w:eastAsia="宋体" w:cs="宋体"/>
          <w:i w:val="0"/>
          <w:iCs w:val="0"/>
          <w:caps w:val="0"/>
          <w:color w:val="000000"/>
          <w:spacing w:val="0"/>
          <w:sz w:val="28"/>
          <w:szCs w:val="28"/>
          <w:bdr w:val="none" w:color="auto" w:sz="0" w:space="0"/>
          <w:shd w:val="clear" w:fill="FFFFFF"/>
        </w:rPr>
        <w:t>）才能被录取。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复试考核和录取工作的具体要求和安排详见我院在复试前发布的博士生复试工作安排有关通知。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Style w:val="8"/>
          <w:rFonts w:hint="eastAsia" w:ascii="黑体" w:hAnsi="宋体" w:eastAsia="黑体" w:cs="黑体"/>
          <w:i w:val="0"/>
          <w:iCs w:val="0"/>
          <w:caps w:val="0"/>
          <w:color w:val="000000"/>
          <w:spacing w:val="0"/>
          <w:sz w:val="28"/>
          <w:szCs w:val="28"/>
          <w:bdr w:val="none" w:color="auto" w:sz="0" w:space="0"/>
          <w:shd w:val="clear" w:fill="FFFFFF"/>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电 </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 </w:t>
      </w:r>
      <w:r>
        <w:rPr>
          <w:rFonts w:hint="eastAsia" w:ascii="宋体" w:hAnsi="宋体" w:eastAsia="宋体" w:cs="宋体"/>
          <w:i w:val="0"/>
          <w:iCs w:val="0"/>
          <w:caps w:val="0"/>
          <w:color w:val="000000"/>
          <w:spacing w:val="0"/>
          <w:sz w:val="28"/>
          <w:szCs w:val="28"/>
          <w:bdr w:val="none" w:color="auto" w:sz="0" w:space="0"/>
          <w:shd w:val="clear" w:fill="FFFFFF"/>
        </w:rPr>
        <w:t>话：</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028-61831036 </w:t>
      </w:r>
      <w:r>
        <w:rPr>
          <w:rFonts w:hint="eastAsia" w:ascii="宋体" w:hAnsi="宋体" w:eastAsia="宋体" w:cs="宋体"/>
          <w:i w:val="0"/>
          <w:iCs w:val="0"/>
          <w:caps w:val="0"/>
          <w:color w:val="000000"/>
          <w:spacing w:val="0"/>
          <w:sz w:val="28"/>
          <w:szCs w:val="28"/>
          <w:bdr w:val="none" w:color="auto" w:sz="0" w:space="0"/>
          <w:shd w:val="clear" w:fill="FFFFFF"/>
        </w:rPr>
        <w:t>电子邮箱：</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spa_yjs@126.com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学院网址</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 spa.uestc.edu.cn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其他未尽事宜请参照《电子科技大学</w:t>
      </w:r>
      <w:r>
        <w:rPr>
          <w:rFonts w:hint="eastAsia" w:ascii="微软雅黑" w:hAnsi="微软雅黑" w:eastAsia="微软雅黑" w:cs="微软雅黑"/>
          <w:i w:val="0"/>
          <w:iCs w:val="0"/>
          <w:caps w:val="0"/>
          <w:color w:val="000000"/>
          <w:spacing w:val="0"/>
          <w:sz w:val="28"/>
          <w:szCs w:val="28"/>
          <w:bdr w:val="none" w:color="auto" w:sz="0" w:space="0"/>
          <w:shd w:val="clear" w:fill="FFFFFF"/>
          <w:lang w:val="en-US"/>
        </w:rPr>
        <w:t>2024</w:t>
      </w:r>
      <w:r>
        <w:rPr>
          <w:rFonts w:hint="eastAsia" w:ascii="宋体" w:hAnsi="宋体" w:eastAsia="宋体" w:cs="宋体"/>
          <w:i w:val="0"/>
          <w:iCs w:val="0"/>
          <w:caps w:val="0"/>
          <w:color w:val="000000"/>
          <w:spacing w:val="0"/>
          <w:sz w:val="28"/>
          <w:szCs w:val="28"/>
          <w:bdr w:val="none" w:color="auto" w:sz="0" w:space="0"/>
          <w:shd w:val="clear" w:fill="FFFFFF"/>
        </w:rPr>
        <w:t>年博士研究生招生简章》及学校或学院的后续通知。本通知内容如因政策变化等原因调整，请以最新通知为准。请考生密切关注电子科技大学研招网或我院网站上发布的最新信息。</w:t>
      </w:r>
    </w:p>
    <w:p>
      <w:pPr>
        <w:rPr>
          <w:rFonts w:hint="default"/>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9EF4DDA"/>
    <w:rsid w:val="0FE4669F"/>
    <w:rsid w:val="10E16942"/>
    <w:rsid w:val="14BD2115"/>
    <w:rsid w:val="2F123144"/>
    <w:rsid w:val="310835FF"/>
    <w:rsid w:val="3E317495"/>
    <w:rsid w:val="41DA4D98"/>
    <w:rsid w:val="43E01C6A"/>
    <w:rsid w:val="484F022F"/>
    <w:rsid w:val="49DD1263"/>
    <w:rsid w:val="4F9F432E"/>
    <w:rsid w:val="6E5C781B"/>
    <w:rsid w:val="77432AB8"/>
    <w:rsid w:val="7794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2023-12-27T07:11:56Z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11851F8B04F74294A9EA3AD06FF62110_13</vt:lpwstr>
  </property>
</Properties>
</file>