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center"/>
        <w:rPr>
          <w:rFonts w:hint="eastAsia" w:ascii="微软雅黑" w:hAnsi="微软雅黑" w:eastAsia="微软雅黑" w:cs="微软雅黑"/>
          <w:b/>
          <w:bCs/>
          <w:i w:val="0"/>
          <w:iCs w:val="0"/>
          <w:caps w:val="0"/>
          <w:color w:val="282828"/>
          <w:spacing w:val="0"/>
          <w:sz w:val="30"/>
          <w:szCs w:val="30"/>
        </w:rPr>
      </w:pPr>
      <w:r>
        <w:rPr>
          <w:rFonts w:hint="eastAsia" w:ascii="微软雅黑" w:hAnsi="微软雅黑" w:eastAsia="微软雅黑" w:cs="微软雅黑"/>
          <w:b/>
          <w:bCs/>
          <w:i w:val="0"/>
          <w:iCs w:val="0"/>
          <w:caps w:val="0"/>
          <w:color w:val="282828"/>
          <w:spacing w:val="0"/>
          <w:sz w:val="30"/>
          <w:szCs w:val="30"/>
          <w:bdr w:val="none" w:color="auto" w:sz="0" w:space="0"/>
        </w:rPr>
        <w:t>重庆大学机械与运载工程学院2024年博士研究生招生录取实施细则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4"/>
          <w:szCs w:val="24"/>
          <w:bdr w:val="none" w:color="auto" w:sz="0" w:space="0"/>
        </w:rPr>
        <w:t>根据教育部有关文件精神及重庆大学《关于做好2024年博士研究生招生（普通招考）工作的通知》（重大校发[2024]38号）、《关于做好2024年硕博连读研究生选拨工作的通知》（重大校发[2024]39号）的要求，现就我院2024年博士研究生招生考核及录取工作安排如下。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4"/>
          <w:szCs w:val="24"/>
          <w:bdr w:val="none" w:color="auto" w:sz="0" w:space="0"/>
        </w:rPr>
        <w:t>一、录取原则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4"/>
          <w:szCs w:val="24"/>
          <w:bdr w:val="none" w:color="auto" w:sz="0" w:space="0"/>
        </w:rPr>
        <w:t>2024年机械与运载工程学院博士研究生录取工作坚持德智体全面衡量、择优录取、双向选择、宁缺毋滥以及公平、公正、公开的原则。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4"/>
          <w:szCs w:val="24"/>
          <w:bdr w:val="none" w:color="auto" w:sz="0" w:space="0"/>
        </w:rPr>
        <w:t>二、组织形式和职责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4"/>
          <w:szCs w:val="24"/>
          <w:bdr w:val="none" w:color="auto" w:sz="0" w:space="0"/>
        </w:rPr>
        <w:t>1、招生工作领导小组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4"/>
          <w:szCs w:val="24"/>
          <w:bdr w:val="none" w:color="auto" w:sz="0" w:space="0"/>
        </w:rPr>
        <w:t>组  长：罗均、陈晓慧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4"/>
          <w:szCs w:val="24"/>
          <w:bdr w:val="none" w:color="auto" w:sz="0" w:space="0"/>
        </w:rPr>
        <w:t>副组长：汤宝平、李雪梅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4"/>
          <w:szCs w:val="24"/>
          <w:bdr w:val="none" w:color="auto" w:sz="0" w:space="0"/>
        </w:rPr>
        <w:t>成  员：禇志刚、吴昊、鄢萍、林腾蛟、李聪波、董小闵、秦毅、胡明辉、皮阳军、张志飞、江桂云、王攀、尹小庆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2"/>
          <w:szCs w:val="22"/>
          <w:bdr w:val="none" w:color="auto" w:sz="0" w:space="0"/>
        </w:rPr>
        <w:t>秘  书：孙跃芳、马黎俊、刘玉婷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2"/>
          <w:szCs w:val="22"/>
          <w:bdr w:val="none" w:color="auto" w:sz="0" w:space="0"/>
        </w:rPr>
        <w:t>电  话：023-65106392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4"/>
          <w:szCs w:val="24"/>
          <w:bdr w:val="none" w:color="auto" w:sz="0" w:space="0"/>
        </w:rPr>
        <w:t>招生工作领导小组主要负责学院招生考核工作的领导和组织工作,承担考核过程的重要决策及其执行监管等职责,为考核过程创造公平、公开、公正的良好环境。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4"/>
          <w:szCs w:val="24"/>
          <w:bdr w:val="none" w:color="auto" w:sz="0" w:space="0"/>
        </w:rPr>
        <w:t>2、申请材料审核专家组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4"/>
          <w:szCs w:val="24"/>
          <w:bdr w:val="none" w:color="auto" w:sz="0" w:space="0"/>
        </w:rPr>
        <w:t>由学院学术委员会委员或者具有博导招生资格的教师组成，每组5人，对考生科研创新的既往表现进行考核评价。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4"/>
          <w:szCs w:val="24"/>
          <w:bdr w:val="none" w:color="auto" w:sz="0" w:space="0"/>
        </w:rPr>
        <w:t>3、学术水平考核专家组与思想政治素质和品德考核组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4"/>
          <w:szCs w:val="24"/>
          <w:bdr w:val="none" w:color="auto" w:sz="0" w:space="0"/>
        </w:rPr>
        <w:t>从专家库中抽取专家组建学术水平考核专家组与思想政治素质和品德考核组，每组人员组成：包括招生导师在内共7名（教授、副教授，其中博导资格专家不少于1/2）、学生思政工作教师1名、工作秘书及考生身份识别与信息工作人员1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4"/>
          <w:szCs w:val="24"/>
          <w:bdr w:val="none" w:color="auto" w:sz="0" w:space="0"/>
        </w:rPr>
        <w:t>学术水平考核专家组对考生专业素养、学业水平、科研能力、培养潜力、创新精神与潜质、综合素质等进行综合考核评价，其中招生导师还应对考生个人学术特长、研究兴趣等方面进行个性化多元评价。思想政治素质和品德考核组对考生思想政治素质和品德进行考核评价。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4"/>
          <w:szCs w:val="24"/>
          <w:bdr w:val="none" w:color="auto" w:sz="0" w:space="0"/>
        </w:rPr>
        <w:t>三、招生计划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4"/>
          <w:szCs w:val="24"/>
          <w:bdr w:val="none" w:color="auto" w:sz="0" w:space="0"/>
        </w:rPr>
        <w:t>2023年学校计划下达机械与运载工程学院的全日制学术型博士研究生普通招生计划名额为63人，全日制工程博士研究生招生名额为28人。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4"/>
          <w:szCs w:val="24"/>
          <w:bdr w:val="none" w:color="auto" w:sz="0" w:space="0"/>
        </w:rPr>
        <w:t>全日制学术型博士研究生招生指标如下：</w:t>
      </w:r>
    </w:p>
    <w:tbl>
      <w:tblPr>
        <w:tblW w:w="8625" w:type="dxa"/>
        <w:tblCellSpacing w:w="15" w:type="dxa"/>
        <w:tblInd w:w="-15"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884"/>
        <w:gridCol w:w="1539"/>
        <w:gridCol w:w="3130"/>
        <w:gridCol w:w="207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PrEx>
        <w:trPr>
          <w:tblCellSpacing w:w="15" w:type="dxa"/>
        </w:trPr>
        <w:tc>
          <w:tcPr>
            <w:tcW w:w="187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rPr>
                <w:b w:val="0"/>
                <w:bCs w:val="0"/>
                <w:color w:val="2C2C2C"/>
                <w:sz w:val="22"/>
                <w:szCs w:val="22"/>
              </w:rPr>
            </w:pPr>
            <w:r>
              <w:rPr>
                <w:rFonts w:hint="eastAsia" w:ascii="宋体" w:hAnsi="宋体" w:eastAsia="宋体" w:cs="宋体"/>
                <w:b w:val="0"/>
                <w:bCs w:val="0"/>
                <w:i w:val="0"/>
                <w:iCs w:val="0"/>
                <w:caps w:val="0"/>
                <w:color w:val="2C2C2C"/>
                <w:spacing w:val="0"/>
                <w:sz w:val="24"/>
                <w:szCs w:val="24"/>
                <w:bdr w:val="none" w:color="auto" w:sz="0" w:space="0"/>
              </w:rPr>
              <w:t>专业名称</w:t>
            </w:r>
          </w:p>
        </w:tc>
        <w:tc>
          <w:tcPr>
            <w:tcW w:w="153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0"/>
              <w:rPr>
                <w:b w:val="0"/>
                <w:bCs w:val="0"/>
                <w:color w:val="2C2C2C"/>
                <w:sz w:val="22"/>
                <w:szCs w:val="22"/>
              </w:rPr>
            </w:pPr>
            <w:r>
              <w:rPr>
                <w:rFonts w:hint="eastAsia" w:ascii="宋体" w:hAnsi="宋体" w:eastAsia="宋体" w:cs="宋体"/>
                <w:b w:val="0"/>
                <w:bCs w:val="0"/>
                <w:i w:val="0"/>
                <w:iCs w:val="0"/>
                <w:caps w:val="0"/>
                <w:color w:val="2C2C2C"/>
                <w:spacing w:val="0"/>
                <w:sz w:val="24"/>
                <w:szCs w:val="24"/>
                <w:bdr w:val="none" w:color="auto" w:sz="0" w:space="0"/>
              </w:rPr>
              <w:t>招生总指标</w:t>
            </w:r>
          </w:p>
        </w:tc>
        <w:tc>
          <w:tcPr>
            <w:tcW w:w="315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rPr>
                <w:b w:val="0"/>
                <w:bCs w:val="0"/>
                <w:color w:val="2C2C2C"/>
                <w:sz w:val="22"/>
                <w:szCs w:val="22"/>
              </w:rPr>
            </w:pPr>
            <w:r>
              <w:rPr>
                <w:rFonts w:hint="eastAsia" w:ascii="宋体" w:hAnsi="宋体" w:eastAsia="宋体" w:cs="宋体"/>
                <w:b w:val="0"/>
                <w:bCs w:val="0"/>
                <w:i w:val="0"/>
                <w:iCs w:val="0"/>
                <w:caps w:val="0"/>
                <w:color w:val="2C2C2C"/>
                <w:spacing w:val="0"/>
                <w:sz w:val="24"/>
                <w:szCs w:val="24"/>
                <w:bdr w:val="none" w:color="auto" w:sz="0" w:space="0"/>
              </w:rPr>
              <w:t>已录取直博生人数</w:t>
            </w:r>
          </w:p>
        </w:tc>
        <w:tc>
          <w:tcPr>
            <w:tcW w:w="207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0"/>
              <w:rPr>
                <w:b w:val="0"/>
                <w:bCs w:val="0"/>
                <w:color w:val="2C2C2C"/>
                <w:sz w:val="22"/>
                <w:szCs w:val="22"/>
              </w:rPr>
            </w:pPr>
            <w:r>
              <w:rPr>
                <w:rFonts w:hint="eastAsia" w:ascii="宋体" w:hAnsi="宋体" w:eastAsia="宋体" w:cs="宋体"/>
                <w:b w:val="0"/>
                <w:bCs w:val="0"/>
                <w:i w:val="0"/>
                <w:iCs w:val="0"/>
                <w:caps w:val="0"/>
                <w:color w:val="2C2C2C"/>
                <w:spacing w:val="0"/>
                <w:sz w:val="24"/>
                <w:szCs w:val="24"/>
                <w:bdr w:val="none" w:color="auto" w:sz="0" w:space="0"/>
              </w:rPr>
              <w:t>本次录取指标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187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rPr>
                <w:b w:val="0"/>
                <w:bCs w:val="0"/>
                <w:color w:val="2C2C2C"/>
                <w:sz w:val="22"/>
                <w:szCs w:val="22"/>
              </w:rPr>
            </w:pPr>
            <w:r>
              <w:rPr>
                <w:rFonts w:hint="eastAsia" w:ascii="宋体" w:hAnsi="宋体" w:eastAsia="宋体" w:cs="宋体"/>
                <w:b w:val="0"/>
                <w:bCs w:val="0"/>
                <w:i w:val="0"/>
                <w:iCs w:val="0"/>
                <w:caps w:val="0"/>
                <w:color w:val="2C2C2C"/>
                <w:spacing w:val="0"/>
                <w:sz w:val="24"/>
                <w:szCs w:val="24"/>
                <w:bdr w:val="none" w:color="auto" w:sz="0" w:space="0"/>
              </w:rPr>
              <w:t>机械工程</w:t>
            </w:r>
          </w:p>
        </w:tc>
        <w:tc>
          <w:tcPr>
            <w:tcW w:w="153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rPr>
                <w:b w:val="0"/>
                <w:bCs w:val="0"/>
                <w:color w:val="2C2C2C"/>
                <w:sz w:val="22"/>
                <w:szCs w:val="22"/>
              </w:rPr>
            </w:pPr>
            <w:r>
              <w:rPr>
                <w:rFonts w:hint="eastAsia" w:ascii="宋体" w:hAnsi="宋体" w:eastAsia="宋体" w:cs="宋体"/>
                <w:b w:val="0"/>
                <w:bCs w:val="0"/>
                <w:i w:val="0"/>
                <w:iCs w:val="0"/>
                <w:caps w:val="0"/>
                <w:color w:val="2C2C2C"/>
                <w:spacing w:val="0"/>
                <w:sz w:val="24"/>
                <w:szCs w:val="24"/>
                <w:bdr w:val="none" w:color="auto" w:sz="0" w:space="0"/>
              </w:rPr>
              <w:t>63</w:t>
            </w:r>
          </w:p>
        </w:tc>
        <w:tc>
          <w:tcPr>
            <w:tcW w:w="315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1590"/>
              <w:rPr>
                <w:b w:val="0"/>
                <w:bCs w:val="0"/>
                <w:color w:val="2C2C2C"/>
                <w:sz w:val="22"/>
                <w:szCs w:val="22"/>
              </w:rPr>
            </w:pPr>
            <w:r>
              <w:rPr>
                <w:rFonts w:hint="eastAsia" w:ascii="宋体" w:hAnsi="宋体" w:eastAsia="宋体" w:cs="宋体"/>
                <w:b w:val="0"/>
                <w:bCs w:val="0"/>
                <w:i w:val="0"/>
                <w:iCs w:val="0"/>
                <w:caps w:val="0"/>
                <w:color w:val="2C2C2C"/>
                <w:spacing w:val="0"/>
                <w:sz w:val="24"/>
                <w:szCs w:val="24"/>
                <w:bdr w:val="none" w:color="auto" w:sz="0" w:space="0"/>
              </w:rPr>
              <w:t>1</w:t>
            </w:r>
          </w:p>
        </w:tc>
        <w:tc>
          <w:tcPr>
            <w:tcW w:w="207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rPr>
                <w:b w:val="0"/>
                <w:bCs w:val="0"/>
                <w:color w:val="2C2C2C"/>
                <w:sz w:val="22"/>
                <w:szCs w:val="22"/>
              </w:rPr>
            </w:pPr>
            <w:r>
              <w:rPr>
                <w:rFonts w:hint="eastAsia" w:ascii="宋体" w:hAnsi="宋体" w:eastAsia="宋体" w:cs="宋体"/>
                <w:b w:val="0"/>
                <w:bCs w:val="0"/>
                <w:i w:val="0"/>
                <w:iCs w:val="0"/>
                <w:caps w:val="0"/>
                <w:color w:val="2C2C2C"/>
                <w:spacing w:val="0"/>
                <w:sz w:val="24"/>
                <w:szCs w:val="24"/>
                <w:bdr w:val="none" w:color="auto" w:sz="0" w:space="0"/>
              </w:rPr>
              <w:t>62</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4"/>
          <w:szCs w:val="24"/>
          <w:bdr w:val="none" w:color="auto" w:sz="0" w:space="0"/>
        </w:rPr>
        <w:t>全日制工程博士研究生招生指标如下：</w:t>
      </w:r>
    </w:p>
    <w:tbl>
      <w:tblPr>
        <w:tblW w:w="8640" w:type="dxa"/>
        <w:tblCellSpacing w:w="15" w:type="dxa"/>
        <w:tblInd w:w="-15"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862"/>
        <w:gridCol w:w="1572"/>
        <w:gridCol w:w="52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184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rPr>
                <w:b w:val="0"/>
                <w:bCs w:val="0"/>
                <w:color w:val="2C2C2C"/>
                <w:sz w:val="22"/>
                <w:szCs w:val="22"/>
              </w:rPr>
            </w:pPr>
            <w:r>
              <w:rPr>
                <w:rFonts w:hint="eastAsia" w:ascii="宋体" w:hAnsi="宋体" w:eastAsia="宋体" w:cs="宋体"/>
                <w:b w:val="0"/>
                <w:bCs w:val="0"/>
                <w:i w:val="0"/>
                <w:iCs w:val="0"/>
                <w:caps w:val="0"/>
                <w:color w:val="2C2C2C"/>
                <w:spacing w:val="0"/>
                <w:sz w:val="24"/>
                <w:szCs w:val="24"/>
                <w:bdr w:val="none" w:color="auto" w:sz="0" w:space="0"/>
              </w:rPr>
              <w:t>专业名称</w:t>
            </w:r>
          </w:p>
        </w:tc>
        <w:tc>
          <w:tcPr>
            <w:tcW w:w="156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0"/>
              <w:jc w:val="both"/>
              <w:rPr>
                <w:b w:val="0"/>
                <w:bCs w:val="0"/>
                <w:color w:val="2C2C2C"/>
                <w:sz w:val="22"/>
                <w:szCs w:val="22"/>
              </w:rPr>
            </w:pPr>
            <w:r>
              <w:rPr>
                <w:rFonts w:hint="eastAsia" w:ascii="宋体" w:hAnsi="宋体" w:eastAsia="宋体" w:cs="宋体"/>
                <w:b w:val="0"/>
                <w:bCs w:val="0"/>
                <w:i w:val="0"/>
                <w:iCs w:val="0"/>
                <w:caps w:val="0"/>
                <w:color w:val="2C2C2C"/>
                <w:spacing w:val="0"/>
                <w:sz w:val="24"/>
                <w:szCs w:val="24"/>
                <w:bdr w:val="none" w:color="auto" w:sz="0" w:space="0"/>
              </w:rPr>
              <w:t>招生总指标</w:t>
            </w:r>
          </w:p>
        </w:tc>
        <w:tc>
          <w:tcPr>
            <w:tcW w:w="523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2070"/>
              <w:rPr>
                <w:b w:val="0"/>
                <w:bCs w:val="0"/>
                <w:color w:val="2C2C2C"/>
                <w:sz w:val="22"/>
                <w:szCs w:val="22"/>
              </w:rPr>
            </w:pPr>
            <w:r>
              <w:rPr>
                <w:rFonts w:hint="eastAsia" w:ascii="宋体" w:hAnsi="宋体" w:eastAsia="宋体" w:cs="宋体"/>
                <w:b w:val="0"/>
                <w:bCs w:val="0"/>
                <w:i w:val="0"/>
                <w:iCs w:val="0"/>
                <w:caps w:val="0"/>
                <w:color w:val="2C2C2C"/>
                <w:spacing w:val="0"/>
                <w:sz w:val="22"/>
                <w:szCs w:val="22"/>
                <w:bdr w:val="none" w:color="auto" w:sz="0" w:space="0"/>
              </w:rPr>
              <w:t>本次录取指标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184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0"/>
              <w:rPr>
                <w:b w:val="0"/>
                <w:bCs w:val="0"/>
                <w:color w:val="2C2C2C"/>
                <w:sz w:val="22"/>
                <w:szCs w:val="22"/>
              </w:rPr>
            </w:pPr>
            <w:r>
              <w:rPr>
                <w:rFonts w:hint="eastAsia" w:ascii="宋体" w:hAnsi="宋体" w:eastAsia="宋体" w:cs="宋体"/>
                <w:b w:val="0"/>
                <w:bCs w:val="0"/>
                <w:i w:val="0"/>
                <w:iCs w:val="0"/>
                <w:caps w:val="0"/>
                <w:color w:val="2C2C2C"/>
                <w:spacing w:val="0"/>
                <w:sz w:val="24"/>
                <w:szCs w:val="24"/>
                <w:bdr w:val="none" w:color="auto" w:sz="0" w:space="0"/>
              </w:rPr>
              <w:t>机械工程、车辆工程、智能制造技术、机器人工程</w:t>
            </w:r>
          </w:p>
        </w:tc>
        <w:tc>
          <w:tcPr>
            <w:tcW w:w="156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rPr>
                <w:b w:val="0"/>
                <w:bCs w:val="0"/>
                <w:color w:val="2C2C2C"/>
                <w:sz w:val="22"/>
                <w:szCs w:val="22"/>
              </w:rPr>
            </w:pPr>
            <w:r>
              <w:rPr>
                <w:rFonts w:hint="eastAsia" w:ascii="宋体" w:hAnsi="宋体" w:eastAsia="宋体" w:cs="宋体"/>
                <w:b w:val="0"/>
                <w:bCs w:val="0"/>
                <w:i w:val="0"/>
                <w:iCs w:val="0"/>
                <w:caps w:val="0"/>
                <w:color w:val="2C2C2C"/>
                <w:spacing w:val="0"/>
                <w:sz w:val="24"/>
                <w:szCs w:val="24"/>
                <w:bdr w:val="none" w:color="auto" w:sz="0" w:space="0"/>
              </w:rPr>
              <w:t>28</w:t>
            </w:r>
          </w:p>
        </w:tc>
        <w:tc>
          <w:tcPr>
            <w:tcW w:w="523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rPr>
                <w:b w:val="0"/>
                <w:bCs w:val="0"/>
                <w:color w:val="2C2C2C"/>
                <w:sz w:val="22"/>
                <w:szCs w:val="22"/>
              </w:rPr>
            </w:pPr>
            <w:r>
              <w:rPr>
                <w:rFonts w:hint="eastAsia" w:ascii="宋体" w:hAnsi="宋体" w:eastAsia="宋体" w:cs="宋体"/>
                <w:b w:val="0"/>
                <w:bCs w:val="0"/>
                <w:i w:val="0"/>
                <w:iCs w:val="0"/>
                <w:caps w:val="0"/>
                <w:color w:val="2C2C2C"/>
                <w:spacing w:val="0"/>
                <w:sz w:val="22"/>
                <w:szCs w:val="22"/>
                <w:bdr w:val="none" w:color="auto" w:sz="0" w:space="0"/>
              </w:rPr>
              <w:t>            28</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4"/>
          <w:szCs w:val="24"/>
          <w:bdr w:val="none" w:color="auto" w:sz="0" w:space="0"/>
        </w:rPr>
        <w:t>四、审查审核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4"/>
          <w:szCs w:val="24"/>
          <w:bdr w:val="none" w:color="auto" w:sz="0" w:space="0"/>
        </w:rPr>
        <w:t>1、申请资格审查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4"/>
          <w:szCs w:val="24"/>
          <w:bdr w:val="none" w:color="auto" w:sz="0" w:space="0"/>
        </w:rPr>
        <w:t>由学院对所有参加面试的考生根据报考提交材料提前进行资格审查，对不符合学校规定“报考条件”或提供虚假信息者，不予准考；对考生的学位、学历、学籍信息等有疑问的，考生应该在规定时间内提供权威机构出具的认证证明。申请资格审查结果在学院网站上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4"/>
          <w:szCs w:val="24"/>
          <w:bdr w:val="none" w:color="auto" w:sz="0" w:space="0"/>
        </w:rPr>
        <w:t>2、申请材料审核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4"/>
          <w:szCs w:val="24"/>
          <w:bdr w:val="none" w:color="auto" w:sz="0" w:space="0"/>
        </w:rPr>
        <w:t>由申请材料审核专家组根据报考提交材料对考生科研创新的既往表现进行考核评价，给出相应成绩（满分为100分，60分及以上为通过）。申请材料审核结果在综合考核前在在学院网站上公布，申请材料审核通过者进入下一环节。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4"/>
          <w:szCs w:val="24"/>
          <w:bdr w:val="none" w:color="auto" w:sz="0" w:space="0"/>
        </w:rPr>
        <w:t>硕博连读考生需完成规定的课程学习和考核，成绩优秀（课程考核无不及格）。对学术研究有浓厚兴趣，具有较强创新精神和科研能力。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4"/>
          <w:szCs w:val="24"/>
          <w:bdr w:val="none" w:color="auto" w:sz="0" w:space="0"/>
        </w:rPr>
        <w:t>五、综合考核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4"/>
          <w:szCs w:val="24"/>
          <w:bdr w:val="none" w:color="auto" w:sz="0" w:space="0"/>
        </w:rPr>
        <w:t>1、考核方式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4"/>
          <w:szCs w:val="24"/>
          <w:bdr w:val="none" w:color="auto" w:sz="0" w:space="0"/>
        </w:rPr>
        <w:t>采取现场面试考核形式。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4"/>
          <w:szCs w:val="24"/>
          <w:bdr w:val="none" w:color="auto" w:sz="0" w:space="0"/>
        </w:rPr>
        <w:t>2、考核时间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4"/>
          <w:szCs w:val="24"/>
          <w:bdr w:val="none" w:color="auto" w:sz="0" w:space="0"/>
        </w:rPr>
        <w:t>（1）全日制学术型博士研究生录取考核安排在5月11日和12日进行，上午9:00开始。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4"/>
          <w:szCs w:val="24"/>
          <w:bdr w:val="none" w:color="auto" w:sz="0" w:space="0"/>
        </w:rPr>
        <w:t>（2）全日制工程博士研究生录取考核安排在5月12日进行，上午9:00开始。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4"/>
          <w:szCs w:val="24"/>
          <w:bdr w:val="none" w:color="auto" w:sz="0" w:space="0"/>
        </w:rPr>
        <w:t>请考生自觉履行保密义务，考核中不得录音、录像、直播、录屏、投屏，不以任何形式对外发布考核相关内容和信息。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4"/>
          <w:szCs w:val="24"/>
          <w:bdr w:val="none" w:color="auto" w:sz="0" w:space="0"/>
        </w:rPr>
        <w:t>3、考核地点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4"/>
          <w:szCs w:val="24"/>
          <w:bdr w:val="none" w:color="auto" w:sz="0" w:space="0"/>
        </w:rPr>
        <w:t>机械与运载工程学院第七教学楼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4"/>
          <w:szCs w:val="24"/>
          <w:bdr w:val="none" w:color="auto" w:sz="0" w:space="0"/>
        </w:rPr>
        <w:t>4、学术水平考核内容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4"/>
          <w:szCs w:val="24"/>
          <w:bdr w:val="none" w:color="auto" w:sz="0" w:space="0"/>
        </w:rPr>
        <w:t>学术水平考核内容分四部分：英语、专业基础、专业综合、综合能力，各科目满分按100分计。专家评分为以上四部分成绩加权之和。每位考生合计面试时间不少于30分钟。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4"/>
          <w:szCs w:val="24"/>
          <w:bdr w:val="none" w:color="auto" w:sz="0" w:space="0"/>
        </w:rPr>
        <w:t>1)英语：综合考查考生的听力、阅读理解和口语交际能力，独立面试，面试时间6分钟/人。该部分占考核总成绩的20%。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4"/>
          <w:szCs w:val="24"/>
          <w:bdr w:val="none" w:color="auto" w:sz="0" w:space="0"/>
        </w:rPr>
        <w:t>2)专业基础：结合考生申请材料(研究计划书、考生参与科研、发表论文、出版专著、专利、获奖等情况等)，对考生的专业基本能力及已具备的科研基础水平进行考查。该部分占考核总成绩的30%。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4"/>
          <w:szCs w:val="24"/>
          <w:bdr w:val="none" w:color="auto" w:sz="0" w:space="0"/>
        </w:rPr>
        <w:t>3)专业综合：考生准备10分钟的PPT展示（用中文进行个人学科背景、博士研修计划等介绍），通过专家提问、考生回答的方式进行，重点针对考生的博士研究计划，对考生的专业认识与深度、科研素养、科研创新能力、是否具备博士生培养的潜能等方面进行考查。该部分占考核总成绩的40%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4"/>
          <w:szCs w:val="24"/>
          <w:bdr w:val="none" w:color="auto" w:sz="0" w:space="0"/>
        </w:rPr>
        <w:t>4)综合能力：结合考生在专业考查面试环节的表现，对考生的语言表达能力、临场应变能力、仪表仪态等方面进行考查。该部分占考核总成绩的10%。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4"/>
          <w:szCs w:val="24"/>
          <w:bdr w:val="none" w:color="auto" w:sz="0" w:space="0"/>
        </w:rPr>
        <w:t>请考生务必整理发送一个命名为“2024学术博士考核材料+考生姓名”或“2024工程博士考核材料+考生姓名”的ZIP压缩包文件，包含两个文件，分别为1、PDF（反映相关专业基础的材料）；2、PPT（内包含个人简介、代表性研究成果、攻读博士学位研究计划），到指定邮箱：598434497@qq.com（材料接收截止日期：2024年4月17日下午6:00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4"/>
          <w:szCs w:val="24"/>
          <w:bdr w:val="none" w:color="auto" w:sz="0" w:space="0"/>
        </w:rPr>
        <w:t>5、思想政治素质和品德考核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4"/>
          <w:szCs w:val="24"/>
          <w:bdr w:val="none" w:color="auto" w:sz="0" w:space="0"/>
        </w:rPr>
        <w:t>考核内容主要包括考生的政治态度、思想表现、道德品质、遵纪守法、诚实守信等，考核结果分为“通过”和“不通过”，不计入综合考核成绩。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4"/>
          <w:szCs w:val="24"/>
          <w:bdr w:val="none" w:color="auto" w:sz="0" w:space="0"/>
        </w:rPr>
        <w:t>6、综合考核成绩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4"/>
          <w:szCs w:val="24"/>
          <w:bdr w:val="none" w:color="auto" w:sz="0" w:space="0"/>
        </w:rPr>
        <w:t>1）学术水平考核专家组各位专家独立评分，专家评分按百分制计算：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4"/>
          <w:szCs w:val="24"/>
          <w:bdr w:val="none" w:color="auto" w:sz="0" w:space="0"/>
        </w:rPr>
        <w:t>专家评分=英语×20%+专业基础×30%+专业综合×40%+综合能力×10%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4"/>
          <w:szCs w:val="24"/>
          <w:bdr w:val="none" w:color="auto" w:sz="0" w:space="0"/>
        </w:rPr>
        <w:t>2）考生综合考核成绩为7个专家评分的加权和，按百分制计算：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4"/>
          <w:szCs w:val="24"/>
          <w:bdr w:val="none" w:color="auto" w:sz="0" w:space="0"/>
        </w:rPr>
        <w:t>考生综合考核成绩=报考导师评分×40%+其余6个专家平均分×60%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4"/>
          <w:szCs w:val="24"/>
          <w:bdr w:val="none" w:color="auto" w:sz="0" w:space="0"/>
        </w:rPr>
        <w:t>7、体检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4"/>
          <w:szCs w:val="24"/>
          <w:bdr w:val="none" w:color="auto" w:sz="0" w:space="0"/>
        </w:rPr>
        <w:t>拟录取名单确定前，考生于4月1日至4月26日可在重庆大学A区或虎溪校区进行体检（体检项目同高考体检项目）。体检不合格者不予录取。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4"/>
          <w:szCs w:val="24"/>
          <w:bdr w:val="none" w:color="auto" w:sz="0" w:space="0"/>
        </w:rPr>
        <w:t>六、总成绩计算与公示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4"/>
          <w:szCs w:val="24"/>
          <w:bdr w:val="none" w:color="auto" w:sz="0" w:space="0"/>
        </w:rPr>
        <w:t>硕博连读考生总成绩=考生综合考核成绩，总成绩计算按四舍五入保留2位小数。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4"/>
          <w:szCs w:val="24"/>
          <w:bdr w:val="none" w:color="auto" w:sz="0" w:space="0"/>
        </w:rPr>
        <w:t>普通招考考生总成绩=报考材料审核成绩×20%+综合考核成绩×80%，总成绩计算按四舍五入保留2位小数。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4"/>
          <w:szCs w:val="24"/>
          <w:bdr w:val="none" w:color="auto" w:sz="0" w:space="0"/>
        </w:rPr>
        <w:t>考核结束后，考生总成绩将在学院官网上进行公示，公示时间不少于3个工作日。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4"/>
          <w:szCs w:val="24"/>
          <w:bdr w:val="none" w:color="auto" w:sz="0" w:space="0"/>
        </w:rPr>
        <w:t>考核总成绩满分100分（60分及以上为合格），单科成绩满分为100分（60及以上为合格）。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4"/>
          <w:szCs w:val="24"/>
          <w:bdr w:val="none" w:color="auto" w:sz="0" w:space="0"/>
        </w:rPr>
        <w:t>考核总成绩不合格、思想政治素质和道德品质考核不合格、体检不合格，其它不符合国家和学校研究生招生管理规定者，均视为考核不合格，不予录取（含调剂录取）。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4"/>
          <w:szCs w:val="24"/>
          <w:bdr w:val="none" w:color="auto" w:sz="0" w:space="0"/>
        </w:rPr>
        <w:t>七、拟录取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480"/>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FF0000"/>
          <w:spacing w:val="0"/>
          <w:sz w:val="24"/>
          <w:szCs w:val="24"/>
          <w:bdr w:val="none" w:color="auto" w:sz="0" w:space="0"/>
        </w:rPr>
        <w:t> </w:t>
      </w:r>
      <w:r>
        <w:rPr>
          <w:rFonts w:hint="eastAsia" w:ascii="宋体" w:hAnsi="宋体" w:eastAsia="宋体" w:cs="宋体"/>
          <w:i w:val="0"/>
          <w:iCs w:val="0"/>
          <w:caps w:val="0"/>
          <w:color w:val="2C2C2C"/>
          <w:spacing w:val="0"/>
          <w:sz w:val="24"/>
          <w:szCs w:val="24"/>
          <w:bdr w:val="none" w:color="auto" w:sz="0" w:space="0"/>
        </w:rPr>
        <w:t>1、按照“择优录取、保证质量、宁缺毋滥”的原则，坚持公平、公正、公开，在学校下达的招生指标和招生导师招生计划限额内，有招生名额的导师在报考导师的合格生源中根据总成绩从高到低确定拟录取名单；总成绩相同的，按报考导师评分成绩排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4"/>
          <w:szCs w:val="24"/>
          <w:bdr w:val="none" w:color="auto" w:sz="0" w:space="0"/>
        </w:rPr>
        <w:t>2、调剂录取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4"/>
          <w:szCs w:val="24"/>
          <w:bdr w:val="none" w:color="auto" w:sz="0" w:space="0"/>
        </w:rPr>
        <w:t>招生导师因合格生源限制无法完成招生计划，可在本学院合格生源中调剂招生录取，或自主将招生计划（科研经费博士除外）指标转让本学院有合格生源且当年具有招生资格的其他导师。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4"/>
          <w:szCs w:val="24"/>
          <w:bdr w:val="none" w:color="auto" w:sz="0" w:space="0"/>
        </w:rPr>
        <w:t>申请考生因所报考的招生导师年度无招生计划或招生计划已满限额未被录取，可申请本学院其他有剩余招生计划的导师调剂录取。一志愿（报考导师）综合考核成绩未达到合格要求、思想政治素质和品德考核不合格或身体健康状态不符合体检要求的申请考生，不得申请调剂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4"/>
          <w:szCs w:val="24"/>
          <w:bdr w:val="none" w:color="auto" w:sz="0" w:space="0"/>
        </w:rPr>
        <w:t>申请调剂的考生通过考生调剂系统向尚有剩余招生计划的导师提交申请，经导师确认接受考生调剂后，方可参加调剂考核。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4"/>
          <w:szCs w:val="24"/>
          <w:bdr w:val="none" w:color="auto" w:sz="0" w:space="0"/>
        </w:rPr>
        <w:t>调剂考生将按照不重复考核原则，仅开展学术水平考核，考核专家组由导师建议、学院审核批准的方式成立，考核成绩经学院审核认定后，重新计入综合考核成绩。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4"/>
          <w:szCs w:val="24"/>
          <w:bdr w:val="none" w:color="auto" w:sz="0" w:space="0"/>
        </w:rPr>
        <w:t>本细则由机械与运载工程学院招生工作领导小组负责解释。对考核结果有异议的，考生可在考核成绩公布3日内进行书面申诉。申诉电话：023-65106392。其余未尽事宜，遵照《关于做好2024年重庆大学招收攻读博士学位研究生工作的通知》相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4"/>
          <w:szCs w:val="24"/>
          <w:bdr w:val="none" w:color="auto" w:sz="0" w:space="0"/>
        </w:rPr>
        <w:t>请参加考核考生扫码加入2024年重大机械博士QQ群807833486，加群时请备注姓名及本科所在学校，以便通知后续事宜。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4"/>
          <w:szCs w:val="24"/>
          <w:bdr w:val="none" w:color="auto" w:sz="0" w:space="0"/>
        </w:rPr>
        <w:t>                                                            </w:t>
      </w:r>
      <w:r>
        <w:rPr>
          <w:rFonts w:hint="eastAsia" w:ascii="宋体" w:hAnsi="宋体" w:eastAsia="宋体" w:cs="宋体"/>
          <w:i w:val="0"/>
          <w:iCs w:val="0"/>
          <w:caps w:val="0"/>
          <w:color w:val="2C2C2C"/>
          <w:spacing w:val="0"/>
          <w:sz w:val="24"/>
          <w:szCs w:val="24"/>
          <w:bdr w:val="none" w:color="auto" w:sz="0" w:space="0"/>
        </w:rPr>
        <w:drawing>
          <wp:inline distT="0" distB="0" distL="114300" distR="114300">
            <wp:extent cx="2152650" cy="2762250"/>
            <wp:effectExtent l="0" t="0" r="0" b="0"/>
            <wp:docPr id="5"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6"/>
                    <pic:cNvPicPr>
                      <a:picLocks noChangeAspect="1"/>
                    </pic:cNvPicPr>
                  </pic:nvPicPr>
                  <pic:blipFill>
                    <a:blip r:embed="rId4"/>
                    <a:stretch>
                      <a:fillRect/>
                    </a:stretch>
                  </pic:blipFill>
                  <pic:spPr>
                    <a:xfrm>
                      <a:off x="0" y="0"/>
                      <a:ext cx="2152650" cy="2762250"/>
                    </a:xfrm>
                    <a:prstGeom prst="rect">
                      <a:avLst/>
                    </a:prstGeom>
                    <a:noFill/>
                    <a:ln w="9525">
                      <a:noFill/>
                    </a:ln>
                  </pic:spPr>
                </pic:pic>
              </a:graphicData>
            </a:graphic>
          </wp:inline>
        </w:drawing>
      </w:r>
    </w:p>
    <w:p>
      <w:pPr>
        <w:rPr>
          <w:rFonts w:hint="eastAsia"/>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191B74F0"/>
    <w:rsid w:val="01A83C46"/>
    <w:rsid w:val="08C76272"/>
    <w:rsid w:val="0FF17F33"/>
    <w:rsid w:val="17DC7AB4"/>
    <w:rsid w:val="191B74F0"/>
    <w:rsid w:val="20EA738C"/>
    <w:rsid w:val="23BD39B2"/>
    <w:rsid w:val="26BE651E"/>
    <w:rsid w:val="2874236C"/>
    <w:rsid w:val="2EC92D50"/>
    <w:rsid w:val="2F1A1856"/>
    <w:rsid w:val="30E65649"/>
    <w:rsid w:val="323352EB"/>
    <w:rsid w:val="3856677A"/>
    <w:rsid w:val="398B45F9"/>
    <w:rsid w:val="3A751FF8"/>
    <w:rsid w:val="3CFA521A"/>
    <w:rsid w:val="3DAB17BA"/>
    <w:rsid w:val="3DC90D6A"/>
    <w:rsid w:val="41CF3183"/>
    <w:rsid w:val="4F13254C"/>
    <w:rsid w:val="54691D09"/>
    <w:rsid w:val="624956CD"/>
    <w:rsid w:val="6CD77A20"/>
    <w:rsid w:val="75306550"/>
    <w:rsid w:val="7E094A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2024-03-28T08:39:00Z</dcterms:created>
  <dc:creator>WPS_1663235086</dc:creator>
  <cp:lastModifiedBy>WPS_1663235086</cp:lastModifiedBy>
  <dcterms:modified xsi:type="dcterms:W3CDTF">2024-03-28T08:57:36Z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E100C24329F04309B7865D5B1C341DE7_13</vt:lpwstr>
  </property>
</Properties>
</file>