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FD9FCD">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小标宋简体" w:cs="Times New Roman"/>
          <w:b w:val="0"/>
          <w:bCs/>
          <w:color w:val="000000"/>
          <w:sz w:val="36"/>
          <w:szCs w:val="36"/>
        </w:rPr>
      </w:pPr>
      <w:r>
        <w:rPr>
          <w:rFonts w:hint="default" w:ascii="Times New Roman" w:hAnsi="Times New Roman" w:eastAsia="方正小标宋简体" w:cs="Times New Roman"/>
          <w:b w:val="0"/>
          <w:bCs/>
          <w:color w:val="000000"/>
          <w:sz w:val="36"/>
          <w:szCs w:val="36"/>
        </w:rPr>
        <w:t>沈阳理工大学博士研究生</w:t>
      </w:r>
      <w:r>
        <w:rPr>
          <w:rFonts w:hint="default" w:ascii="Times New Roman" w:hAnsi="Times New Roman" w:eastAsia="方正小标宋简体" w:cs="Times New Roman"/>
          <w:b w:val="0"/>
          <w:bCs/>
          <w:color w:val="000000"/>
          <w:sz w:val="36"/>
          <w:szCs w:val="36"/>
          <w:lang w:val="en-US" w:eastAsia="zh-CN"/>
        </w:rPr>
        <w:t>招生</w:t>
      </w:r>
      <w:r>
        <w:rPr>
          <w:rFonts w:hint="default" w:ascii="Times New Roman" w:hAnsi="Times New Roman" w:eastAsia="方正小标宋简体" w:cs="Times New Roman"/>
          <w:b w:val="0"/>
          <w:bCs/>
          <w:color w:val="000000"/>
          <w:sz w:val="36"/>
          <w:szCs w:val="36"/>
        </w:rPr>
        <w:t>考试</w:t>
      </w:r>
      <w:r>
        <w:rPr>
          <w:rFonts w:hint="default" w:ascii="Times New Roman" w:hAnsi="Times New Roman" w:eastAsia="方正小标宋简体" w:cs="Times New Roman"/>
          <w:b w:val="0"/>
          <w:bCs/>
          <w:color w:val="000000"/>
          <w:sz w:val="36"/>
          <w:szCs w:val="36"/>
          <w:lang w:val="en-US" w:eastAsia="zh-CN"/>
        </w:rPr>
        <w:t>初试科目考试</w:t>
      </w:r>
      <w:r>
        <w:rPr>
          <w:rFonts w:hint="default" w:ascii="Times New Roman" w:hAnsi="Times New Roman" w:eastAsia="方正小标宋简体" w:cs="Times New Roman"/>
          <w:b w:val="0"/>
          <w:bCs/>
          <w:color w:val="000000"/>
          <w:sz w:val="36"/>
          <w:szCs w:val="36"/>
        </w:rPr>
        <w:t>大纲</w:t>
      </w:r>
    </w:p>
    <w:p w14:paraId="5BFD82DE">
      <w:pPr>
        <w:keepNext w:val="0"/>
        <w:keepLines w:val="0"/>
        <w:pageBreakBefore w:val="0"/>
        <w:widowControl w:val="0"/>
        <w:tabs>
          <w:tab w:val="right" w:pos="8312"/>
        </w:tabs>
        <w:kinsoku/>
        <w:wordWrap/>
        <w:overflowPunct/>
        <w:topLinePunct w:val="0"/>
        <w:autoSpaceDE/>
        <w:autoSpaceDN/>
        <w:bidi w:val="0"/>
        <w:adjustRightInd/>
        <w:snapToGrid/>
        <w:spacing w:line="600" w:lineRule="exact"/>
        <w:jc w:val="center"/>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科目代码：1001</w:t>
      </w:r>
      <w:r>
        <w:rPr>
          <w:rFonts w:hint="eastAsia" w:eastAsia="仿宋_GB2312" w:cs="Times New Roman"/>
          <w:b/>
          <w:sz w:val="32"/>
          <w:szCs w:val="32"/>
          <w:lang w:val="en-US" w:eastAsia="zh-CN"/>
        </w:rPr>
        <w:t xml:space="preserve">       </w:t>
      </w:r>
      <w:r>
        <w:rPr>
          <w:rFonts w:hint="eastAsia" w:ascii="仿宋_GB2312" w:hAnsi="仿宋_GB2312" w:eastAsia="仿宋_GB2312" w:cs="仿宋_GB2312"/>
          <w:b/>
          <w:sz w:val="32"/>
          <w:szCs w:val="32"/>
        </w:rPr>
        <w:t>科目名称：英语</w:t>
      </w:r>
    </w:p>
    <w:p w14:paraId="401B1079">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一、考试基本内容</w:t>
      </w:r>
    </w:p>
    <w:p w14:paraId="3C6ADAAB">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沈阳理工大学参照各博士招生单位制定的培养方案，并考虑研究生教育的实际，制订本科目的考试内容。</w:t>
      </w:r>
    </w:p>
    <w:p w14:paraId="3506AACB">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考试内容共分五个部分：阅读理解（40%）、完形填空（10%）、英译汉（15%）、汉译英（10%）、写作（25%）。</w:t>
      </w:r>
    </w:p>
    <w:p w14:paraId="21256E04">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二、考试要求</w:t>
      </w:r>
    </w:p>
    <w:p w14:paraId="041C4515">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非英语专业博士研究生入学考试，重点考察考生的英语语言综合运用能力，也就是运用英语发现问题、分析问题和解决问题的能力。</w:t>
      </w:r>
    </w:p>
    <w:p w14:paraId="01D345FA">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三、题型</w:t>
      </w:r>
    </w:p>
    <w:p w14:paraId="762FBE1D">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 xml:space="preserve">第一部分 阅读理解（Part I Reading Comprehension） </w:t>
      </w:r>
    </w:p>
    <w:p w14:paraId="1CB50F8F">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 xml:space="preserve">阅读理解部分主要测试考生在规定时间内通过阅读获取信息的能力，既要求准确度，也要求有一定的速度。 </w:t>
      </w:r>
    </w:p>
    <w:p w14:paraId="55AD07BC">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 xml:space="preserve">本部分主要测试下述能力： </w:t>
      </w:r>
    </w:p>
    <w:p w14:paraId="5A75A1B4">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 xml:space="preserve">1. 掌握所读材料的中心思想、主要内容和有关细节； </w:t>
      </w:r>
    </w:p>
    <w:p w14:paraId="1D1E34CF">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 xml:space="preserve">2. 对所读材料的内容进行正确的判断和推理； </w:t>
      </w:r>
    </w:p>
    <w:p w14:paraId="7B9882C2">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 xml:space="preserve">3. 根据上下文的逻辑关系理解某些词和句子的意义； </w:t>
      </w:r>
    </w:p>
    <w:p w14:paraId="44E91E9D">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 xml:space="preserve">4. 领会作者的观点和判断作者的态度。 </w:t>
      </w:r>
    </w:p>
    <w:p w14:paraId="59691ABD">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 xml:space="preserve">阅读材料的选择原则： </w:t>
      </w:r>
    </w:p>
    <w:p w14:paraId="764CD348">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 xml:space="preserve">1. 题材广泛，可以包括社会、文化、科普知识、史地、人物传记等。所涉及的背景知识应能为考生所了解； </w:t>
      </w:r>
    </w:p>
    <w:p w14:paraId="3DE4A604">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 xml:space="preserve">2. 体裁多样，可包括叙事、议论、描述、说明、应用文等； </w:t>
      </w:r>
    </w:p>
    <w:p w14:paraId="567BBCED">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 xml:space="preserve">文章应有一定的难度。 </w:t>
      </w:r>
    </w:p>
    <w:p w14:paraId="66111EE8">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 xml:space="preserve">共20题，每小题2分，总计40分。 </w:t>
      </w:r>
    </w:p>
    <w:p w14:paraId="14FBA91A">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 xml:space="preserve">阅读五篇文章，阅读量为2300-2500个单词。每篇文章后有4道选择题，共计20题。考生应根据文章内容从每题所给的四个选项中选出一个最佳答案。 </w:t>
      </w:r>
    </w:p>
    <w:p w14:paraId="16ABA898">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 xml:space="preserve">第二部分 完形填空（Part II Cloze） </w:t>
      </w:r>
    </w:p>
    <w:p w14:paraId="796005B8">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 xml:space="preserve">完形填空部分主要测试考生在英语语篇水平上的理解能力和实际运用语言的能力。测试形式是在一篇题材熟悉、难度适中的短文（约150-180词）中留出20个空（第一句和最后一句不留空），每个空为一题，要求考生就篇章后所给各题的四个选项中，选出可以填入空白处的一个最佳答案。该部分共20小题，每小题0.5分，总计10分。 </w:t>
      </w:r>
    </w:p>
    <w:p w14:paraId="3FDA0478">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 xml:space="preserve">第三部分 英译汉（Part III E-C Translation） </w:t>
      </w:r>
    </w:p>
    <w:p w14:paraId="25B79F69">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 xml:space="preserve">英译汉部分主要测试考生在英语语篇水平理解基础之上，对某些具体内容的准确理解并译成汉语的能力。测试的形式是从一篇约400-500词的短文中划出三句或三小段，要求考生译成汉语。测试内容为一般性或科普常识性的短文。译文须忠实于原文，表达正确，语言流畅。该部分共3小题，每小题5分，总计15分。 </w:t>
      </w:r>
    </w:p>
    <w:p w14:paraId="54561ACD">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 xml:space="preserve">第四部分 汉译英（Part IV C-E Translation） </w:t>
      </w:r>
    </w:p>
    <w:p w14:paraId="5824940C">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 xml:space="preserve">汉译英部分主要测试考生将汉语译成英语的能力。测试内容为一般性或科普常识性的短文，总量为一篇130-160汉字的中文段落，内含6-8个汉语句子，要求考生译成英语。译文须忠实于原文，表达正确，无重大语言错误。该部分共1题，总计10分。 </w:t>
      </w:r>
    </w:p>
    <w:p w14:paraId="2444E780">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 xml:space="preserve">第五部分 写作（Writing） </w:t>
      </w:r>
    </w:p>
    <w:p w14:paraId="0B0CA5B8">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 xml:space="preserve">写作部分主要测试考生用英语书面表达思想的能力，要求其写出一篇150词左右的应用型短文和一篇200词左右的非应用型短文。应用型短文的形式可以是申请信、推荐信、个人陈述等，文中不应出现任何和考生相关的信息；非应用型短文的形式可以有命题作文、主题作文、图表作文等。应用型短文写作一般应有写作要求；非应用型短文写作一般提供写作提纲。应用型短文写作和非应用型短文写作均要求切题、能正确表达思想、无重大语言错误。该部分共2题，第一题为10分，第二题为15分，总计25分。 </w:t>
      </w:r>
    </w:p>
    <w:p w14:paraId="255E1443">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 xml:space="preserve">考试形式与试卷结构 </w:t>
      </w:r>
    </w:p>
    <w:p w14:paraId="57B93E04">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 xml:space="preserve">1. 答卷方式：闭卷、笔试。 </w:t>
      </w:r>
    </w:p>
    <w:p w14:paraId="51B7897B">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 xml:space="preserve">2. 考试时间：180分钟。试卷满分为100分。 </w:t>
      </w:r>
    </w:p>
    <w:p w14:paraId="6024C7B8">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 xml:space="preserve">3. 题型：试卷一般可包括阅读理解题、完形填空题、英译汉题、汉译英题、写作题等题型。 </w:t>
      </w:r>
    </w:p>
    <w:p w14:paraId="69090E97">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 xml:space="preserve">4. 试题难易比例：试卷包括容易题、中等题和难题，以中等题为主。 </w:t>
      </w:r>
    </w:p>
    <w:p w14:paraId="2974722F">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 xml:space="preserve">5. 试卷题型、题量、计分和答题参考时间如下表所示： </w:t>
      </w:r>
    </w:p>
    <w:tbl>
      <w:tblPr>
        <w:tblStyle w:val="6"/>
        <w:tblW w:w="7245" w:type="dxa"/>
        <w:jc w:val="center"/>
        <w:tblCellSpacing w:w="7"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shd w:val="clear" w:color="auto" w:fill="000000"/>
        <w:tblLayout w:type="autofit"/>
        <w:tblCellMar>
          <w:top w:w="0" w:type="dxa"/>
          <w:left w:w="0" w:type="dxa"/>
          <w:bottom w:w="0" w:type="dxa"/>
          <w:right w:w="0" w:type="dxa"/>
        </w:tblCellMar>
      </w:tblPr>
      <w:tblGrid>
        <w:gridCol w:w="1129"/>
        <w:gridCol w:w="1506"/>
        <w:gridCol w:w="1095"/>
        <w:gridCol w:w="1856"/>
        <w:gridCol w:w="1659"/>
      </w:tblGrid>
      <w:tr w14:paraId="33B94F0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shd w:val="clear" w:color="auto" w:fill="000000"/>
          <w:tblCellMar>
            <w:top w:w="0" w:type="dxa"/>
            <w:left w:w="0" w:type="dxa"/>
            <w:bottom w:w="0" w:type="dxa"/>
            <w:right w:w="0" w:type="dxa"/>
          </w:tblCellMar>
        </w:tblPrEx>
        <w:trPr>
          <w:trHeight w:val="630" w:hRule="atLeast"/>
          <w:tblCellSpacing w:w="7" w:type="dxa"/>
          <w:jc w:val="center"/>
        </w:trPr>
        <w:tc>
          <w:tcPr>
            <w:tcW w:w="1108" w:type="dxa"/>
            <w:shd w:val="clear" w:color="auto" w:fill="FFFFFF"/>
            <w:noWrap w:val="0"/>
            <w:vAlign w:val="center"/>
          </w:tcPr>
          <w:p w14:paraId="4FE71DFB">
            <w:pPr>
              <w:widowControl/>
              <w:spacing w:before="100" w:beforeAutospacing="1" w:after="100" w:afterAutospacing="1"/>
              <w:ind w:firstLine="120" w:firstLineChars="50"/>
              <w:jc w:val="center"/>
              <w:rPr>
                <w:rFonts w:hint="eastAsia" w:ascii="仿宋_GB2312" w:hAnsi="仿宋_GB2312" w:eastAsia="仿宋_GB2312" w:cs="仿宋_GB2312"/>
                <w:b w:val="0"/>
                <w:bCs/>
                <w:color w:val="333333"/>
                <w:kern w:val="0"/>
                <w:sz w:val="24"/>
                <w:szCs w:val="24"/>
              </w:rPr>
            </w:pPr>
            <w:r>
              <w:rPr>
                <w:rFonts w:hint="eastAsia" w:ascii="仿宋_GB2312" w:hAnsi="仿宋_GB2312" w:eastAsia="仿宋_GB2312" w:cs="仿宋_GB2312"/>
                <w:b w:val="0"/>
                <w:bCs/>
                <w:color w:val="333333"/>
                <w:kern w:val="0"/>
                <w:sz w:val="24"/>
                <w:szCs w:val="24"/>
              </w:rPr>
              <w:t>题号</w:t>
            </w:r>
          </w:p>
        </w:tc>
        <w:tc>
          <w:tcPr>
            <w:tcW w:w="1492" w:type="dxa"/>
            <w:shd w:val="clear" w:color="auto" w:fill="FFFFFF"/>
            <w:noWrap w:val="0"/>
            <w:vAlign w:val="center"/>
          </w:tcPr>
          <w:p w14:paraId="6D8CD2FF">
            <w:pPr>
              <w:widowControl/>
              <w:spacing w:before="100" w:beforeAutospacing="1" w:after="100" w:afterAutospacing="1"/>
              <w:ind w:firstLine="120" w:firstLineChars="50"/>
              <w:jc w:val="center"/>
              <w:rPr>
                <w:rFonts w:hint="eastAsia" w:ascii="仿宋_GB2312" w:hAnsi="仿宋_GB2312" w:eastAsia="仿宋_GB2312" w:cs="仿宋_GB2312"/>
                <w:b w:val="0"/>
                <w:bCs/>
                <w:color w:val="333333"/>
                <w:kern w:val="0"/>
                <w:sz w:val="24"/>
                <w:szCs w:val="24"/>
              </w:rPr>
            </w:pPr>
            <w:r>
              <w:rPr>
                <w:rFonts w:hint="eastAsia" w:ascii="仿宋_GB2312" w:hAnsi="仿宋_GB2312" w:eastAsia="仿宋_GB2312" w:cs="仿宋_GB2312"/>
                <w:b w:val="0"/>
                <w:bCs/>
                <w:color w:val="333333"/>
                <w:kern w:val="0"/>
                <w:sz w:val="24"/>
                <w:szCs w:val="24"/>
              </w:rPr>
              <w:t>题型</w:t>
            </w:r>
          </w:p>
        </w:tc>
        <w:tc>
          <w:tcPr>
            <w:tcW w:w="1081" w:type="dxa"/>
            <w:shd w:val="clear" w:color="auto" w:fill="FFFFFF"/>
            <w:noWrap w:val="0"/>
            <w:vAlign w:val="center"/>
          </w:tcPr>
          <w:p w14:paraId="7CC1CFCF">
            <w:pPr>
              <w:widowControl/>
              <w:spacing w:before="100" w:beforeAutospacing="1" w:after="100" w:afterAutospacing="1"/>
              <w:ind w:firstLine="120" w:firstLineChars="50"/>
              <w:jc w:val="center"/>
              <w:rPr>
                <w:rFonts w:hint="eastAsia" w:ascii="仿宋_GB2312" w:hAnsi="仿宋_GB2312" w:eastAsia="仿宋_GB2312" w:cs="仿宋_GB2312"/>
                <w:b w:val="0"/>
                <w:bCs/>
                <w:color w:val="333333"/>
                <w:kern w:val="0"/>
                <w:sz w:val="24"/>
                <w:szCs w:val="24"/>
              </w:rPr>
            </w:pPr>
            <w:r>
              <w:rPr>
                <w:rFonts w:hint="eastAsia" w:ascii="仿宋_GB2312" w:hAnsi="仿宋_GB2312" w:eastAsia="仿宋_GB2312" w:cs="仿宋_GB2312"/>
                <w:b w:val="0"/>
                <w:bCs/>
                <w:color w:val="333333"/>
                <w:kern w:val="0"/>
                <w:sz w:val="24"/>
                <w:szCs w:val="24"/>
              </w:rPr>
              <w:t>题量</w:t>
            </w:r>
          </w:p>
        </w:tc>
        <w:tc>
          <w:tcPr>
            <w:tcW w:w="1842" w:type="dxa"/>
            <w:shd w:val="clear" w:color="auto" w:fill="FFFFFF"/>
            <w:noWrap w:val="0"/>
            <w:vAlign w:val="center"/>
          </w:tcPr>
          <w:p w14:paraId="6BCEFCC6">
            <w:pPr>
              <w:widowControl/>
              <w:spacing w:before="100" w:beforeAutospacing="1" w:after="100" w:afterAutospacing="1"/>
              <w:ind w:firstLine="120" w:firstLineChars="50"/>
              <w:jc w:val="center"/>
              <w:rPr>
                <w:rFonts w:hint="eastAsia" w:ascii="仿宋_GB2312" w:hAnsi="仿宋_GB2312" w:eastAsia="仿宋_GB2312" w:cs="仿宋_GB2312"/>
                <w:b w:val="0"/>
                <w:bCs/>
                <w:color w:val="333333"/>
                <w:kern w:val="0"/>
                <w:sz w:val="24"/>
                <w:szCs w:val="24"/>
              </w:rPr>
            </w:pPr>
            <w:r>
              <w:rPr>
                <w:rFonts w:hint="eastAsia" w:ascii="仿宋_GB2312" w:hAnsi="仿宋_GB2312" w:eastAsia="仿宋_GB2312" w:cs="仿宋_GB2312"/>
                <w:b w:val="0"/>
                <w:bCs/>
                <w:color w:val="333333"/>
                <w:kern w:val="0"/>
                <w:sz w:val="24"/>
                <w:szCs w:val="24"/>
              </w:rPr>
              <w:t>计分（百分比</w:t>
            </w:r>
            <w:bookmarkStart w:id="0" w:name="_GoBack"/>
            <w:bookmarkEnd w:id="0"/>
            <w:r>
              <w:rPr>
                <w:rFonts w:hint="eastAsia" w:ascii="仿宋_GB2312" w:hAnsi="仿宋_GB2312" w:eastAsia="仿宋_GB2312" w:cs="仿宋_GB2312"/>
                <w:b w:val="0"/>
                <w:bCs/>
                <w:color w:val="333333"/>
                <w:kern w:val="0"/>
                <w:sz w:val="24"/>
                <w:szCs w:val="24"/>
              </w:rPr>
              <w:t>）</w:t>
            </w:r>
          </w:p>
        </w:tc>
        <w:tc>
          <w:tcPr>
            <w:tcW w:w="1638" w:type="dxa"/>
            <w:shd w:val="clear" w:color="auto" w:fill="FFFFFF"/>
            <w:noWrap w:val="0"/>
            <w:vAlign w:val="center"/>
          </w:tcPr>
          <w:p w14:paraId="002DDDD1">
            <w:pPr>
              <w:widowControl/>
              <w:spacing w:before="100" w:beforeAutospacing="1" w:after="100" w:afterAutospacing="1"/>
              <w:ind w:firstLine="120" w:firstLineChars="50"/>
              <w:jc w:val="center"/>
              <w:rPr>
                <w:rFonts w:hint="eastAsia" w:ascii="仿宋_GB2312" w:hAnsi="仿宋_GB2312" w:eastAsia="仿宋_GB2312" w:cs="仿宋_GB2312"/>
                <w:b w:val="0"/>
                <w:bCs/>
                <w:color w:val="333333"/>
                <w:kern w:val="0"/>
                <w:sz w:val="24"/>
                <w:szCs w:val="24"/>
              </w:rPr>
            </w:pPr>
            <w:r>
              <w:rPr>
                <w:rFonts w:hint="eastAsia" w:ascii="仿宋_GB2312" w:hAnsi="仿宋_GB2312" w:eastAsia="仿宋_GB2312" w:cs="仿宋_GB2312"/>
                <w:b w:val="0"/>
                <w:bCs/>
                <w:color w:val="333333"/>
                <w:kern w:val="0"/>
                <w:sz w:val="24"/>
                <w:szCs w:val="24"/>
              </w:rPr>
              <w:t>答题参考时间（分钟）</w:t>
            </w:r>
          </w:p>
        </w:tc>
      </w:tr>
      <w:tr w14:paraId="68B3A9B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30" w:hRule="atLeast"/>
          <w:tblCellSpacing w:w="7" w:type="dxa"/>
          <w:jc w:val="center"/>
        </w:trPr>
        <w:tc>
          <w:tcPr>
            <w:tcW w:w="1108" w:type="dxa"/>
            <w:shd w:val="clear" w:color="auto" w:fill="FFFFFF"/>
            <w:noWrap w:val="0"/>
            <w:vAlign w:val="center"/>
          </w:tcPr>
          <w:p w14:paraId="29129DE2">
            <w:pPr>
              <w:widowControl/>
              <w:spacing w:before="100" w:beforeAutospacing="1" w:after="100" w:afterAutospacing="1"/>
              <w:ind w:firstLine="120" w:firstLineChars="50"/>
              <w:jc w:val="center"/>
              <w:rPr>
                <w:rFonts w:hint="eastAsia" w:ascii="仿宋_GB2312" w:hAnsi="仿宋_GB2312" w:eastAsia="仿宋_GB2312" w:cs="仿宋_GB2312"/>
                <w:b w:val="0"/>
                <w:bCs/>
                <w:color w:val="333333"/>
                <w:kern w:val="0"/>
                <w:sz w:val="24"/>
                <w:szCs w:val="24"/>
              </w:rPr>
            </w:pPr>
            <w:r>
              <w:rPr>
                <w:rFonts w:hint="eastAsia" w:ascii="仿宋_GB2312" w:hAnsi="仿宋_GB2312" w:eastAsia="仿宋_GB2312" w:cs="仿宋_GB2312"/>
                <w:b w:val="0"/>
                <w:bCs/>
                <w:color w:val="333333"/>
                <w:kern w:val="0"/>
                <w:sz w:val="24"/>
                <w:szCs w:val="24"/>
              </w:rPr>
              <w:t>I</w:t>
            </w:r>
          </w:p>
        </w:tc>
        <w:tc>
          <w:tcPr>
            <w:tcW w:w="1492" w:type="dxa"/>
            <w:shd w:val="clear" w:color="auto" w:fill="FFFFFF"/>
            <w:noWrap w:val="0"/>
            <w:vAlign w:val="center"/>
          </w:tcPr>
          <w:p w14:paraId="280B7BCD">
            <w:pPr>
              <w:widowControl/>
              <w:spacing w:before="100" w:beforeAutospacing="1" w:after="100" w:afterAutospacing="1"/>
              <w:ind w:firstLine="120" w:firstLineChars="50"/>
              <w:jc w:val="center"/>
              <w:rPr>
                <w:rFonts w:hint="eastAsia" w:ascii="仿宋_GB2312" w:hAnsi="仿宋_GB2312" w:eastAsia="仿宋_GB2312" w:cs="仿宋_GB2312"/>
                <w:b w:val="0"/>
                <w:bCs/>
                <w:color w:val="333333"/>
                <w:kern w:val="0"/>
                <w:sz w:val="24"/>
                <w:szCs w:val="24"/>
              </w:rPr>
            </w:pPr>
            <w:r>
              <w:rPr>
                <w:rFonts w:hint="eastAsia" w:ascii="仿宋_GB2312" w:hAnsi="仿宋_GB2312" w:eastAsia="仿宋_GB2312" w:cs="仿宋_GB2312"/>
                <w:b w:val="0"/>
                <w:bCs/>
                <w:color w:val="333333"/>
                <w:kern w:val="0"/>
                <w:sz w:val="24"/>
                <w:szCs w:val="24"/>
              </w:rPr>
              <w:t>阅读理解</w:t>
            </w:r>
          </w:p>
        </w:tc>
        <w:tc>
          <w:tcPr>
            <w:tcW w:w="1081" w:type="dxa"/>
            <w:shd w:val="clear" w:color="auto" w:fill="FFFFFF"/>
            <w:noWrap w:val="0"/>
            <w:vAlign w:val="center"/>
          </w:tcPr>
          <w:p w14:paraId="36E21F61">
            <w:pPr>
              <w:widowControl/>
              <w:spacing w:before="100" w:beforeAutospacing="1" w:after="100" w:afterAutospacing="1"/>
              <w:ind w:firstLine="120" w:firstLineChars="50"/>
              <w:jc w:val="center"/>
              <w:rPr>
                <w:rFonts w:hint="eastAsia" w:ascii="仿宋_GB2312" w:hAnsi="仿宋_GB2312" w:eastAsia="仿宋_GB2312" w:cs="仿宋_GB2312"/>
                <w:b w:val="0"/>
                <w:bCs/>
                <w:color w:val="333333"/>
                <w:kern w:val="0"/>
                <w:sz w:val="24"/>
                <w:szCs w:val="24"/>
              </w:rPr>
            </w:pPr>
            <w:r>
              <w:rPr>
                <w:rFonts w:hint="eastAsia" w:ascii="仿宋_GB2312" w:hAnsi="仿宋_GB2312" w:eastAsia="仿宋_GB2312" w:cs="仿宋_GB2312"/>
                <w:b w:val="0"/>
                <w:bCs/>
                <w:color w:val="333333"/>
                <w:kern w:val="0"/>
                <w:sz w:val="24"/>
                <w:szCs w:val="24"/>
              </w:rPr>
              <w:t>20</w:t>
            </w:r>
          </w:p>
        </w:tc>
        <w:tc>
          <w:tcPr>
            <w:tcW w:w="1842" w:type="dxa"/>
            <w:shd w:val="clear" w:color="auto" w:fill="FFFFFF"/>
            <w:noWrap w:val="0"/>
            <w:vAlign w:val="center"/>
          </w:tcPr>
          <w:p w14:paraId="5445E0E5">
            <w:pPr>
              <w:widowControl/>
              <w:spacing w:before="100" w:beforeAutospacing="1" w:after="100" w:afterAutospacing="1"/>
              <w:ind w:firstLine="120" w:firstLineChars="50"/>
              <w:jc w:val="center"/>
              <w:rPr>
                <w:rFonts w:hint="eastAsia" w:ascii="仿宋_GB2312" w:hAnsi="仿宋_GB2312" w:eastAsia="仿宋_GB2312" w:cs="仿宋_GB2312"/>
                <w:b w:val="0"/>
                <w:bCs/>
                <w:color w:val="333333"/>
                <w:kern w:val="0"/>
                <w:sz w:val="24"/>
                <w:szCs w:val="24"/>
              </w:rPr>
            </w:pPr>
            <w:r>
              <w:rPr>
                <w:rFonts w:hint="eastAsia" w:ascii="仿宋_GB2312" w:hAnsi="仿宋_GB2312" w:eastAsia="仿宋_GB2312" w:cs="仿宋_GB2312"/>
                <w:b w:val="0"/>
                <w:bCs/>
                <w:color w:val="333333"/>
                <w:kern w:val="0"/>
                <w:sz w:val="24"/>
                <w:szCs w:val="24"/>
              </w:rPr>
              <w:t>40</w:t>
            </w:r>
          </w:p>
        </w:tc>
        <w:tc>
          <w:tcPr>
            <w:tcW w:w="1638" w:type="dxa"/>
            <w:shd w:val="clear" w:color="auto" w:fill="FFFFFF"/>
            <w:noWrap w:val="0"/>
            <w:vAlign w:val="center"/>
          </w:tcPr>
          <w:p w14:paraId="0F1F2223">
            <w:pPr>
              <w:widowControl/>
              <w:spacing w:before="100" w:beforeAutospacing="1" w:after="100" w:afterAutospacing="1"/>
              <w:ind w:firstLine="120" w:firstLineChars="50"/>
              <w:jc w:val="center"/>
              <w:rPr>
                <w:rFonts w:hint="eastAsia" w:ascii="仿宋_GB2312" w:hAnsi="仿宋_GB2312" w:eastAsia="仿宋_GB2312" w:cs="仿宋_GB2312"/>
                <w:b w:val="0"/>
                <w:bCs/>
                <w:color w:val="333333"/>
                <w:kern w:val="0"/>
                <w:sz w:val="24"/>
                <w:szCs w:val="24"/>
              </w:rPr>
            </w:pPr>
            <w:r>
              <w:rPr>
                <w:rFonts w:hint="eastAsia" w:ascii="仿宋_GB2312" w:hAnsi="仿宋_GB2312" w:eastAsia="仿宋_GB2312" w:cs="仿宋_GB2312"/>
                <w:b w:val="0"/>
                <w:bCs/>
                <w:color w:val="333333"/>
                <w:kern w:val="0"/>
                <w:sz w:val="24"/>
                <w:szCs w:val="24"/>
              </w:rPr>
              <w:t>50</w:t>
            </w:r>
          </w:p>
        </w:tc>
      </w:tr>
      <w:tr w14:paraId="226A170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shd w:val="clear" w:color="auto" w:fill="000000"/>
          <w:tblCellMar>
            <w:top w:w="0" w:type="dxa"/>
            <w:left w:w="0" w:type="dxa"/>
            <w:bottom w:w="0" w:type="dxa"/>
            <w:right w:w="0" w:type="dxa"/>
          </w:tblCellMar>
        </w:tblPrEx>
        <w:trPr>
          <w:trHeight w:val="630" w:hRule="atLeast"/>
          <w:tblCellSpacing w:w="7" w:type="dxa"/>
          <w:jc w:val="center"/>
        </w:trPr>
        <w:tc>
          <w:tcPr>
            <w:tcW w:w="1108" w:type="dxa"/>
            <w:shd w:val="clear" w:color="auto" w:fill="FFFFFF"/>
            <w:noWrap w:val="0"/>
            <w:vAlign w:val="center"/>
          </w:tcPr>
          <w:p w14:paraId="7E58F84A">
            <w:pPr>
              <w:widowControl/>
              <w:spacing w:before="100" w:beforeAutospacing="1" w:after="100" w:afterAutospacing="1"/>
              <w:ind w:firstLine="120" w:firstLineChars="50"/>
              <w:jc w:val="center"/>
              <w:rPr>
                <w:rFonts w:hint="eastAsia" w:ascii="仿宋_GB2312" w:hAnsi="仿宋_GB2312" w:eastAsia="仿宋_GB2312" w:cs="仿宋_GB2312"/>
                <w:b w:val="0"/>
                <w:bCs/>
                <w:color w:val="333333"/>
                <w:kern w:val="0"/>
                <w:sz w:val="24"/>
                <w:szCs w:val="24"/>
              </w:rPr>
            </w:pPr>
            <w:r>
              <w:rPr>
                <w:rFonts w:hint="eastAsia" w:ascii="仿宋_GB2312" w:hAnsi="仿宋_GB2312" w:eastAsia="仿宋_GB2312" w:cs="仿宋_GB2312"/>
                <w:b w:val="0"/>
                <w:bCs/>
                <w:color w:val="333333"/>
                <w:kern w:val="0"/>
                <w:sz w:val="24"/>
                <w:szCs w:val="24"/>
              </w:rPr>
              <w:t>II</w:t>
            </w:r>
          </w:p>
        </w:tc>
        <w:tc>
          <w:tcPr>
            <w:tcW w:w="1492" w:type="dxa"/>
            <w:shd w:val="clear" w:color="auto" w:fill="FFFFFF"/>
            <w:noWrap w:val="0"/>
            <w:vAlign w:val="center"/>
          </w:tcPr>
          <w:p w14:paraId="17818461">
            <w:pPr>
              <w:widowControl/>
              <w:spacing w:before="100" w:beforeAutospacing="1" w:after="100" w:afterAutospacing="1"/>
              <w:ind w:firstLine="120" w:firstLineChars="50"/>
              <w:jc w:val="center"/>
              <w:rPr>
                <w:rFonts w:hint="eastAsia" w:ascii="仿宋_GB2312" w:hAnsi="仿宋_GB2312" w:eastAsia="仿宋_GB2312" w:cs="仿宋_GB2312"/>
                <w:b w:val="0"/>
                <w:bCs/>
                <w:color w:val="333333"/>
                <w:kern w:val="0"/>
                <w:sz w:val="24"/>
                <w:szCs w:val="24"/>
              </w:rPr>
            </w:pPr>
            <w:r>
              <w:rPr>
                <w:rFonts w:hint="eastAsia" w:ascii="仿宋_GB2312" w:hAnsi="仿宋_GB2312" w:eastAsia="仿宋_GB2312" w:cs="仿宋_GB2312"/>
                <w:b w:val="0"/>
                <w:bCs/>
                <w:color w:val="333333"/>
                <w:kern w:val="0"/>
                <w:sz w:val="24"/>
                <w:szCs w:val="24"/>
              </w:rPr>
              <w:t>完形填空</w:t>
            </w:r>
          </w:p>
        </w:tc>
        <w:tc>
          <w:tcPr>
            <w:tcW w:w="1081" w:type="dxa"/>
            <w:shd w:val="clear" w:color="auto" w:fill="FFFFFF"/>
            <w:noWrap w:val="0"/>
            <w:vAlign w:val="center"/>
          </w:tcPr>
          <w:p w14:paraId="040CDFF7">
            <w:pPr>
              <w:widowControl/>
              <w:spacing w:before="100" w:beforeAutospacing="1" w:after="100" w:afterAutospacing="1"/>
              <w:ind w:firstLine="120" w:firstLineChars="50"/>
              <w:jc w:val="center"/>
              <w:rPr>
                <w:rFonts w:hint="eastAsia" w:ascii="仿宋_GB2312" w:hAnsi="仿宋_GB2312" w:eastAsia="仿宋_GB2312" w:cs="仿宋_GB2312"/>
                <w:b w:val="0"/>
                <w:bCs/>
                <w:color w:val="333333"/>
                <w:kern w:val="0"/>
                <w:sz w:val="24"/>
                <w:szCs w:val="24"/>
              </w:rPr>
            </w:pPr>
            <w:r>
              <w:rPr>
                <w:rFonts w:hint="eastAsia" w:ascii="仿宋_GB2312" w:hAnsi="仿宋_GB2312" w:eastAsia="仿宋_GB2312" w:cs="仿宋_GB2312"/>
                <w:b w:val="0"/>
                <w:bCs/>
                <w:color w:val="333333"/>
                <w:kern w:val="0"/>
                <w:sz w:val="24"/>
                <w:szCs w:val="24"/>
              </w:rPr>
              <w:t>20</w:t>
            </w:r>
          </w:p>
        </w:tc>
        <w:tc>
          <w:tcPr>
            <w:tcW w:w="1842" w:type="dxa"/>
            <w:shd w:val="clear" w:color="auto" w:fill="FFFFFF"/>
            <w:noWrap w:val="0"/>
            <w:vAlign w:val="center"/>
          </w:tcPr>
          <w:p w14:paraId="53A84A52">
            <w:pPr>
              <w:widowControl/>
              <w:spacing w:before="100" w:beforeAutospacing="1" w:after="100" w:afterAutospacing="1"/>
              <w:ind w:firstLine="120" w:firstLineChars="50"/>
              <w:jc w:val="center"/>
              <w:rPr>
                <w:rFonts w:hint="eastAsia" w:ascii="仿宋_GB2312" w:hAnsi="仿宋_GB2312" w:eastAsia="仿宋_GB2312" w:cs="仿宋_GB2312"/>
                <w:b w:val="0"/>
                <w:bCs/>
                <w:color w:val="333333"/>
                <w:kern w:val="0"/>
                <w:sz w:val="24"/>
                <w:szCs w:val="24"/>
              </w:rPr>
            </w:pPr>
            <w:r>
              <w:rPr>
                <w:rFonts w:hint="eastAsia" w:ascii="仿宋_GB2312" w:hAnsi="仿宋_GB2312" w:eastAsia="仿宋_GB2312" w:cs="仿宋_GB2312"/>
                <w:b w:val="0"/>
                <w:bCs/>
                <w:color w:val="333333"/>
                <w:kern w:val="0"/>
                <w:sz w:val="24"/>
                <w:szCs w:val="24"/>
              </w:rPr>
              <w:t>10</w:t>
            </w:r>
          </w:p>
        </w:tc>
        <w:tc>
          <w:tcPr>
            <w:tcW w:w="1638" w:type="dxa"/>
            <w:shd w:val="clear" w:color="auto" w:fill="FFFFFF"/>
            <w:noWrap w:val="0"/>
            <w:vAlign w:val="center"/>
          </w:tcPr>
          <w:p w14:paraId="0767DFA4">
            <w:pPr>
              <w:widowControl/>
              <w:spacing w:before="100" w:beforeAutospacing="1" w:after="100" w:afterAutospacing="1"/>
              <w:ind w:firstLine="120" w:firstLineChars="50"/>
              <w:jc w:val="center"/>
              <w:rPr>
                <w:rFonts w:hint="eastAsia" w:ascii="仿宋_GB2312" w:hAnsi="仿宋_GB2312" w:eastAsia="仿宋_GB2312" w:cs="仿宋_GB2312"/>
                <w:b w:val="0"/>
                <w:bCs/>
                <w:color w:val="333333"/>
                <w:kern w:val="0"/>
                <w:sz w:val="24"/>
                <w:szCs w:val="24"/>
              </w:rPr>
            </w:pPr>
            <w:r>
              <w:rPr>
                <w:rFonts w:hint="eastAsia" w:ascii="仿宋_GB2312" w:hAnsi="仿宋_GB2312" w:eastAsia="仿宋_GB2312" w:cs="仿宋_GB2312"/>
                <w:b w:val="0"/>
                <w:bCs/>
                <w:color w:val="333333"/>
                <w:kern w:val="0"/>
                <w:sz w:val="24"/>
                <w:szCs w:val="24"/>
              </w:rPr>
              <w:t>20</w:t>
            </w:r>
          </w:p>
        </w:tc>
      </w:tr>
      <w:tr w14:paraId="2795EC0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shd w:val="clear" w:color="auto" w:fill="000000"/>
          <w:tblCellMar>
            <w:top w:w="0" w:type="dxa"/>
            <w:left w:w="0" w:type="dxa"/>
            <w:bottom w:w="0" w:type="dxa"/>
            <w:right w:w="0" w:type="dxa"/>
          </w:tblCellMar>
        </w:tblPrEx>
        <w:trPr>
          <w:trHeight w:val="630" w:hRule="atLeast"/>
          <w:tblCellSpacing w:w="7" w:type="dxa"/>
          <w:jc w:val="center"/>
        </w:trPr>
        <w:tc>
          <w:tcPr>
            <w:tcW w:w="1108" w:type="dxa"/>
            <w:shd w:val="clear" w:color="auto" w:fill="FFFFFF"/>
            <w:noWrap w:val="0"/>
            <w:vAlign w:val="center"/>
          </w:tcPr>
          <w:p w14:paraId="1201909F">
            <w:pPr>
              <w:widowControl/>
              <w:spacing w:before="100" w:beforeAutospacing="1" w:after="100" w:afterAutospacing="1"/>
              <w:ind w:firstLine="120" w:firstLineChars="50"/>
              <w:jc w:val="center"/>
              <w:rPr>
                <w:rFonts w:hint="eastAsia" w:ascii="仿宋_GB2312" w:hAnsi="仿宋_GB2312" w:eastAsia="仿宋_GB2312" w:cs="仿宋_GB2312"/>
                <w:b w:val="0"/>
                <w:bCs/>
                <w:color w:val="333333"/>
                <w:kern w:val="0"/>
                <w:sz w:val="24"/>
                <w:szCs w:val="24"/>
              </w:rPr>
            </w:pPr>
            <w:r>
              <w:rPr>
                <w:rFonts w:hint="eastAsia" w:ascii="仿宋_GB2312" w:hAnsi="仿宋_GB2312" w:eastAsia="仿宋_GB2312" w:cs="仿宋_GB2312"/>
                <w:b w:val="0"/>
                <w:bCs/>
                <w:color w:val="333333"/>
                <w:kern w:val="0"/>
                <w:sz w:val="24"/>
                <w:szCs w:val="24"/>
              </w:rPr>
              <w:t>III</w:t>
            </w:r>
          </w:p>
        </w:tc>
        <w:tc>
          <w:tcPr>
            <w:tcW w:w="1492" w:type="dxa"/>
            <w:shd w:val="clear" w:color="auto" w:fill="FFFFFF"/>
            <w:noWrap w:val="0"/>
            <w:vAlign w:val="center"/>
          </w:tcPr>
          <w:p w14:paraId="2BC207E5">
            <w:pPr>
              <w:widowControl/>
              <w:spacing w:before="100" w:beforeAutospacing="1" w:after="100" w:afterAutospacing="1"/>
              <w:ind w:firstLine="120" w:firstLineChars="50"/>
              <w:jc w:val="center"/>
              <w:rPr>
                <w:rFonts w:hint="eastAsia" w:ascii="仿宋_GB2312" w:hAnsi="仿宋_GB2312" w:eastAsia="仿宋_GB2312" w:cs="仿宋_GB2312"/>
                <w:b w:val="0"/>
                <w:bCs/>
                <w:color w:val="333333"/>
                <w:kern w:val="0"/>
                <w:sz w:val="24"/>
                <w:szCs w:val="24"/>
              </w:rPr>
            </w:pPr>
            <w:r>
              <w:rPr>
                <w:rFonts w:hint="eastAsia" w:ascii="仿宋_GB2312" w:hAnsi="仿宋_GB2312" w:eastAsia="仿宋_GB2312" w:cs="仿宋_GB2312"/>
                <w:b w:val="0"/>
                <w:bCs/>
                <w:color w:val="333333"/>
                <w:kern w:val="0"/>
                <w:sz w:val="24"/>
                <w:szCs w:val="24"/>
              </w:rPr>
              <w:t>英译汉</w:t>
            </w:r>
          </w:p>
        </w:tc>
        <w:tc>
          <w:tcPr>
            <w:tcW w:w="1081" w:type="dxa"/>
            <w:shd w:val="clear" w:color="auto" w:fill="FFFFFF"/>
            <w:noWrap w:val="0"/>
            <w:vAlign w:val="center"/>
          </w:tcPr>
          <w:p w14:paraId="1C5B2B8E">
            <w:pPr>
              <w:widowControl/>
              <w:spacing w:before="100" w:beforeAutospacing="1" w:after="100" w:afterAutospacing="1"/>
              <w:ind w:firstLine="120" w:firstLineChars="50"/>
              <w:jc w:val="center"/>
              <w:rPr>
                <w:rFonts w:hint="eastAsia" w:ascii="仿宋_GB2312" w:hAnsi="仿宋_GB2312" w:eastAsia="仿宋_GB2312" w:cs="仿宋_GB2312"/>
                <w:b w:val="0"/>
                <w:bCs/>
                <w:color w:val="333333"/>
                <w:kern w:val="0"/>
                <w:sz w:val="24"/>
                <w:szCs w:val="24"/>
              </w:rPr>
            </w:pPr>
            <w:r>
              <w:rPr>
                <w:rFonts w:hint="eastAsia" w:ascii="仿宋_GB2312" w:hAnsi="仿宋_GB2312" w:eastAsia="仿宋_GB2312" w:cs="仿宋_GB2312"/>
                <w:b w:val="0"/>
                <w:bCs/>
                <w:color w:val="333333"/>
                <w:kern w:val="0"/>
                <w:sz w:val="24"/>
                <w:szCs w:val="24"/>
              </w:rPr>
              <w:t>3</w:t>
            </w:r>
          </w:p>
        </w:tc>
        <w:tc>
          <w:tcPr>
            <w:tcW w:w="1842" w:type="dxa"/>
            <w:shd w:val="clear" w:color="auto" w:fill="FFFFFF"/>
            <w:noWrap w:val="0"/>
            <w:vAlign w:val="center"/>
          </w:tcPr>
          <w:p w14:paraId="5C7E7A48">
            <w:pPr>
              <w:widowControl/>
              <w:spacing w:before="100" w:beforeAutospacing="1" w:after="100" w:afterAutospacing="1"/>
              <w:ind w:firstLine="120" w:firstLineChars="50"/>
              <w:jc w:val="center"/>
              <w:rPr>
                <w:rFonts w:hint="eastAsia" w:ascii="仿宋_GB2312" w:hAnsi="仿宋_GB2312" w:eastAsia="仿宋_GB2312" w:cs="仿宋_GB2312"/>
                <w:b w:val="0"/>
                <w:bCs/>
                <w:color w:val="333333"/>
                <w:kern w:val="0"/>
                <w:sz w:val="24"/>
                <w:szCs w:val="24"/>
              </w:rPr>
            </w:pPr>
            <w:r>
              <w:rPr>
                <w:rFonts w:hint="eastAsia" w:ascii="仿宋_GB2312" w:hAnsi="仿宋_GB2312" w:eastAsia="仿宋_GB2312" w:cs="仿宋_GB2312"/>
                <w:b w:val="0"/>
                <w:bCs/>
                <w:color w:val="333333"/>
                <w:kern w:val="0"/>
                <w:sz w:val="24"/>
                <w:szCs w:val="24"/>
              </w:rPr>
              <w:t>15</w:t>
            </w:r>
          </w:p>
        </w:tc>
        <w:tc>
          <w:tcPr>
            <w:tcW w:w="1638" w:type="dxa"/>
            <w:shd w:val="clear" w:color="auto" w:fill="FFFFFF"/>
            <w:noWrap w:val="0"/>
            <w:vAlign w:val="center"/>
          </w:tcPr>
          <w:p w14:paraId="7D4D6D51">
            <w:pPr>
              <w:widowControl/>
              <w:spacing w:before="100" w:beforeAutospacing="1" w:after="100" w:afterAutospacing="1"/>
              <w:ind w:firstLine="120" w:firstLineChars="50"/>
              <w:jc w:val="center"/>
              <w:rPr>
                <w:rFonts w:hint="eastAsia" w:ascii="仿宋_GB2312" w:hAnsi="仿宋_GB2312" w:eastAsia="仿宋_GB2312" w:cs="仿宋_GB2312"/>
                <w:b w:val="0"/>
                <w:bCs/>
                <w:color w:val="333333"/>
                <w:kern w:val="0"/>
                <w:sz w:val="24"/>
                <w:szCs w:val="24"/>
              </w:rPr>
            </w:pPr>
            <w:r>
              <w:rPr>
                <w:rFonts w:hint="eastAsia" w:ascii="仿宋_GB2312" w:hAnsi="仿宋_GB2312" w:eastAsia="仿宋_GB2312" w:cs="仿宋_GB2312"/>
                <w:b w:val="0"/>
                <w:bCs/>
                <w:color w:val="333333"/>
                <w:kern w:val="0"/>
                <w:sz w:val="24"/>
                <w:szCs w:val="24"/>
              </w:rPr>
              <w:t>30</w:t>
            </w:r>
          </w:p>
        </w:tc>
      </w:tr>
      <w:tr w14:paraId="5E92169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30" w:hRule="atLeast"/>
          <w:tblCellSpacing w:w="7" w:type="dxa"/>
          <w:jc w:val="center"/>
        </w:trPr>
        <w:tc>
          <w:tcPr>
            <w:tcW w:w="1108" w:type="dxa"/>
            <w:shd w:val="clear" w:color="auto" w:fill="FFFFFF"/>
            <w:noWrap w:val="0"/>
            <w:vAlign w:val="center"/>
          </w:tcPr>
          <w:p w14:paraId="0F4A9ECA">
            <w:pPr>
              <w:widowControl/>
              <w:spacing w:before="100" w:beforeAutospacing="1" w:after="100" w:afterAutospacing="1"/>
              <w:ind w:firstLine="120" w:firstLineChars="50"/>
              <w:jc w:val="center"/>
              <w:rPr>
                <w:rFonts w:hint="eastAsia" w:ascii="仿宋_GB2312" w:hAnsi="仿宋_GB2312" w:eastAsia="仿宋_GB2312" w:cs="仿宋_GB2312"/>
                <w:b w:val="0"/>
                <w:bCs/>
                <w:color w:val="333333"/>
                <w:kern w:val="0"/>
                <w:sz w:val="24"/>
                <w:szCs w:val="24"/>
              </w:rPr>
            </w:pPr>
            <w:r>
              <w:rPr>
                <w:rFonts w:hint="eastAsia" w:ascii="仿宋_GB2312" w:hAnsi="仿宋_GB2312" w:eastAsia="仿宋_GB2312" w:cs="仿宋_GB2312"/>
                <w:b w:val="0"/>
                <w:bCs/>
                <w:color w:val="333333"/>
                <w:kern w:val="0"/>
                <w:sz w:val="24"/>
                <w:szCs w:val="24"/>
              </w:rPr>
              <w:t>IV</w:t>
            </w:r>
          </w:p>
        </w:tc>
        <w:tc>
          <w:tcPr>
            <w:tcW w:w="1492" w:type="dxa"/>
            <w:shd w:val="clear" w:color="auto" w:fill="FFFFFF"/>
            <w:noWrap w:val="0"/>
            <w:vAlign w:val="center"/>
          </w:tcPr>
          <w:p w14:paraId="6910FBDA">
            <w:pPr>
              <w:widowControl/>
              <w:spacing w:before="100" w:beforeAutospacing="1" w:after="100" w:afterAutospacing="1"/>
              <w:ind w:firstLine="120" w:firstLineChars="50"/>
              <w:jc w:val="center"/>
              <w:rPr>
                <w:rFonts w:hint="eastAsia" w:ascii="仿宋_GB2312" w:hAnsi="仿宋_GB2312" w:eastAsia="仿宋_GB2312" w:cs="仿宋_GB2312"/>
                <w:b w:val="0"/>
                <w:bCs/>
                <w:color w:val="333333"/>
                <w:kern w:val="0"/>
                <w:sz w:val="24"/>
                <w:szCs w:val="24"/>
              </w:rPr>
            </w:pPr>
            <w:r>
              <w:rPr>
                <w:rFonts w:hint="eastAsia" w:ascii="仿宋_GB2312" w:hAnsi="仿宋_GB2312" w:eastAsia="仿宋_GB2312" w:cs="仿宋_GB2312"/>
                <w:b w:val="0"/>
                <w:bCs/>
                <w:color w:val="333333"/>
                <w:kern w:val="0"/>
                <w:sz w:val="24"/>
                <w:szCs w:val="24"/>
              </w:rPr>
              <w:t>汉译英</w:t>
            </w:r>
          </w:p>
        </w:tc>
        <w:tc>
          <w:tcPr>
            <w:tcW w:w="1081" w:type="dxa"/>
            <w:shd w:val="clear" w:color="auto" w:fill="FFFFFF"/>
            <w:noWrap w:val="0"/>
            <w:vAlign w:val="center"/>
          </w:tcPr>
          <w:p w14:paraId="205554B0">
            <w:pPr>
              <w:widowControl/>
              <w:spacing w:before="100" w:beforeAutospacing="1" w:after="100" w:afterAutospacing="1"/>
              <w:ind w:firstLine="120" w:firstLineChars="50"/>
              <w:jc w:val="center"/>
              <w:rPr>
                <w:rFonts w:hint="eastAsia" w:ascii="仿宋_GB2312" w:hAnsi="仿宋_GB2312" w:eastAsia="仿宋_GB2312" w:cs="仿宋_GB2312"/>
                <w:b w:val="0"/>
                <w:bCs/>
                <w:color w:val="333333"/>
                <w:kern w:val="0"/>
                <w:sz w:val="24"/>
                <w:szCs w:val="24"/>
              </w:rPr>
            </w:pPr>
            <w:r>
              <w:rPr>
                <w:rFonts w:hint="eastAsia" w:ascii="仿宋_GB2312" w:hAnsi="仿宋_GB2312" w:eastAsia="仿宋_GB2312" w:cs="仿宋_GB2312"/>
                <w:b w:val="0"/>
                <w:bCs/>
                <w:color w:val="333333"/>
                <w:kern w:val="0"/>
                <w:sz w:val="24"/>
                <w:szCs w:val="24"/>
              </w:rPr>
              <w:t>1</w:t>
            </w:r>
          </w:p>
        </w:tc>
        <w:tc>
          <w:tcPr>
            <w:tcW w:w="1842" w:type="dxa"/>
            <w:shd w:val="clear" w:color="auto" w:fill="FFFFFF"/>
            <w:noWrap w:val="0"/>
            <w:vAlign w:val="center"/>
          </w:tcPr>
          <w:p w14:paraId="185F2B5B">
            <w:pPr>
              <w:widowControl/>
              <w:spacing w:before="100" w:beforeAutospacing="1" w:after="100" w:afterAutospacing="1"/>
              <w:ind w:firstLine="120" w:firstLineChars="50"/>
              <w:jc w:val="center"/>
              <w:rPr>
                <w:rFonts w:hint="eastAsia" w:ascii="仿宋_GB2312" w:hAnsi="仿宋_GB2312" w:eastAsia="仿宋_GB2312" w:cs="仿宋_GB2312"/>
                <w:b w:val="0"/>
                <w:bCs/>
                <w:color w:val="333333"/>
                <w:kern w:val="0"/>
                <w:sz w:val="24"/>
                <w:szCs w:val="24"/>
              </w:rPr>
            </w:pPr>
            <w:r>
              <w:rPr>
                <w:rFonts w:hint="eastAsia" w:ascii="仿宋_GB2312" w:hAnsi="仿宋_GB2312" w:eastAsia="仿宋_GB2312" w:cs="仿宋_GB2312"/>
                <w:b w:val="0"/>
                <w:bCs/>
                <w:color w:val="333333"/>
                <w:kern w:val="0"/>
                <w:sz w:val="24"/>
                <w:szCs w:val="24"/>
              </w:rPr>
              <w:t>10</w:t>
            </w:r>
          </w:p>
        </w:tc>
        <w:tc>
          <w:tcPr>
            <w:tcW w:w="1638" w:type="dxa"/>
            <w:shd w:val="clear" w:color="auto" w:fill="FFFFFF"/>
            <w:noWrap w:val="0"/>
            <w:vAlign w:val="center"/>
          </w:tcPr>
          <w:p w14:paraId="3C9635FF">
            <w:pPr>
              <w:widowControl/>
              <w:spacing w:before="100" w:beforeAutospacing="1" w:after="100" w:afterAutospacing="1"/>
              <w:ind w:firstLine="120" w:firstLineChars="50"/>
              <w:jc w:val="center"/>
              <w:rPr>
                <w:rFonts w:hint="eastAsia" w:ascii="仿宋_GB2312" w:hAnsi="仿宋_GB2312" w:eastAsia="仿宋_GB2312" w:cs="仿宋_GB2312"/>
                <w:b w:val="0"/>
                <w:bCs/>
                <w:color w:val="333333"/>
                <w:kern w:val="0"/>
                <w:sz w:val="24"/>
                <w:szCs w:val="24"/>
              </w:rPr>
            </w:pPr>
            <w:r>
              <w:rPr>
                <w:rFonts w:hint="eastAsia" w:ascii="仿宋_GB2312" w:hAnsi="仿宋_GB2312" w:eastAsia="仿宋_GB2312" w:cs="仿宋_GB2312"/>
                <w:b w:val="0"/>
                <w:bCs/>
                <w:color w:val="333333"/>
                <w:kern w:val="0"/>
                <w:sz w:val="24"/>
                <w:szCs w:val="24"/>
              </w:rPr>
              <w:t>30</w:t>
            </w:r>
          </w:p>
        </w:tc>
      </w:tr>
      <w:tr w14:paraId="31871AA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shd w:val="clear" w:color="auto" w:fill="000000"/>
          <w:tblCellMar>
            <w:top w:w="0" w:type="dxa"/>
            <w:left w:w="0" w:type="dxa"/>
            <w:bottom w:w="0" w:type="dxa"/>
            <w:right w:w="0" w:type="dxa"/>
          </w:tblCellMar>
        </w:tblPrEx>
        <w:trPr>
          <w:trHeight w:val="630" w:hRule="atLeast"/>
          <w:tblCellSpacing w:w="7" w:type="dxa"/>
          <w:jc w:val="center"/>
        </w:trPr>
        <w:tc>
          <w:tcPr>
            <w:tcW w:w="1108" w:type="dxa"/>
            <w:shd w:val="clear" w:color="auto" w:fill="FFFFFF"/>
            <w:noWrap w:val="0"/>
            <w:vAlign w:val="center"/>
          </w:tcPr>
          <w:p w14:paraId="771271B2">
            <w:pPr>
              <w:widowControl/>
              <w:spacing w:before="100" w:beforeAutospacing="1" w:after="100" w:afterAutospacing="1"/>
              <w:ind w:firstLine="120" w:firstLineChars="50"/>
              <w:jc w:val="center"/>
              <w:rPr>
                <w:rFonts w:hint="eastAsia" w:ascii="仿宋_GB2312" w:hAnsi="仿宋_GB2312" w:eastAsia="仿宋_GB2312" w:cs="仿宋_GB2312"/>
                <w:b w:val="0"/>
                <w:bCs/>
                <w:color w:val="333333"/>
                <w:kern w:val="0"/>
                <w:sz w:val="24"/>
                <w:szCs w:val="24"/>
              </w:rPr>
            </w:pPr>
            <w:r>
              <w:rPr>
                <w:rFonts w:hint="eastAsia" w:ascii="仿宋_GB2312" w:hAnsi="仿宋_GB2312" w:eastAsia="仿宋_GB2312" w:cs="仿宋_GB2312"/>
                <w:b w:val="0"/>
                <w:bCs/>
                <w:color w:val="333333"/>
                <w:kern w:val="0"/>
                <w:sz w:val="24"/>
                <w:szCs w:val="24"/>
              </w:rPr>
              <w:t>V</w:t>
            </w:r>
          </w:p>
        </w:tc>
        <w:tc>
          <w:tcPr>
            <w:tcW w:w="1492" w:type="dxa"/>
            <w:shd w:val="clear" w:color="auto" w:fill="FFFFFF"/>
            <w:noWrap w:val="0"/>
            <w:vAlign w:val="center"/>
          </w:tcPr>
          <w:p w14:paraId="59C550D9">
            <w:pPr>
              <w:widowControl/>
              <w:spacing w:before="100" w:beforeAutospacing="1" w:after="100" w:afterAutospacing="1"/>
              <w:ind w:firstLine="120" w:firstLineChars="50"/>
              <w:jc w:val="center"/>
              <w:rPr>
                <w:rFonts w:hint="eastAsia" w:ascii="仿宋_GB2312" w:hAnsi="仿宋_GB2312" w:eastAsia="仿宋_GB2312" w:cs="仿宋_GB2312"/>
                <w:b w:val="0"/>
                <w:bCs/>
                <w:color w:val="333333"/>
                <w:kern w:val="0"/>
                <w:sz w:val="24"/>
                <w:szCs w:val="24"/>
              </w:rPr>
            </w:pPr>
            <w:r>
              <w:rPr>
                <w:rFonts w:hint="eastAsia" w:ascii="仿宋_GB2312" w:hAnsi="仿宋_GB2312" w:eastAsia="仿宋_GB2312" w:cs="仿宋_GB2312"/>
                <w:b w:val="0"/>
                <w:bCs/>
                <w:color w:val="333333"/>
                <w:kern w:val="0"/>
                <w:sz w:val="24"/>
                <w:szCs w:val="24"/>
              </w:rPr>
              <w:t>写 作</w:t>
            </w:r>
          </w:p>
        </w:tc>
        <w:tc>
          <w:tcPr>
            <w:tcW w:w="1081" w:type="dxa"/>
            <w:shd w:val="clear" w:color="auto" w:fill="FFFFFF"/>
            <w:noWrap w:val="0"/>
            <w:vAlign w:val="center"/>
          </w:tcPr>
          <w:p w14:paraId="2C17E767">
            <w:pPr>
              <w:widowControl/>
              <w:spacing w:before="100" w:beforeAutospacing="1" w:after="100" w:afterAutospacing="1"/>
              <w:ind w:firstLine="120" w:firstLineChars="50"/>
              <w:jc w:val="center"/>
              <w:rPr>
                <w:rFonts w:hint="eastAsia" w:ascii="仿宋_GB2312" w:hAnsi="仿宋_GB2312" w:eastAsia="仿宋_GB2312" w:cs="仿宋_GB2312"/>
                <w:b w:val="0"/>
                <w:bCs/>
                <w:color w:val="333333"/>
                <w:kern w:val="0"/>
                <w:sz w:val="24"/>
                <w:szCs w:val="24"/>
              </w:rPr>
            </w:pPr>
            <w:r>
              <w:rPr>
                <w:rFonts w:hint="eastAsia" w:ascii="仿宋_GB2312" w:hAnsi="仿宋_GB2312" w:eastAsia="仿宋_GB2312" w:cs="仿宋_GB2312"/>
                <w:b w:val="0"/>
                <w:bCs/>
                <w:color w:val="333333"/>
                <w:kern w:val="0"/>
                <w:sz w:val="24"/>
                <w:szCs w:val="24"/>
              </w:rPr>
              <w:t>2</w:t>
            </w:r>
          </w:p>
        </w:tc>
        <w:tc>
          <w:tcPr>
            <w:tcW w:w="1842" w:type="dxa"/>
            <w:shd w:val="clear" w:color="auto" w:fill="FFFFFF"/>
            <w:noWrap w:val="0"/>
            <w:vAlign w:val="center"/>
          </w:tcPr>
          <w:p w14:paraId="138C0CFC">
            <w:pPr>
              <w:widowControl/>
              <w:spacing w:before="100" w:beforeAutospacing="1" w:after="100" w:afterAutospacing="1"/>
              <w:ind w:firstLine="120" w:firstLineChars="50"/>
              <w:jc w:val="center"/>
              <w:rPr>
                <w:rFonts w:hint="eastAsia" w:ascii="仿宋_GB2312" w:hAnsi="仿宋_GB2312" w:eastAsia="仿宋_GB2312" w:cs="仿宋_GB2312"/>
                <w:b w:val="0"/>
                <w:bCs/>
                <w:color w:val="333333"/>
                <w:kern w:val="0"/>
                <w:sz w:val="24"/>
                <w:szCs w:val="24"/>
              </w:rPr>
            </w:pPr>
            <w:r>
              <w:rPr>
                <w:rFonts w:hint="eastAsia" w:ascii="仿宋_GB2312" w:hAnsi="仿宋_GB2312" w:eastAsia="仿宋_GB2312" w:cs="仿宋_GB2312"/>
                <w:b w:val="0"/>
                <w:bCs/>
                <w:color w:val="333333"/>
                <w:kern w:val="0"/>
                <w:sz w:val="24"/>
                <w:szCs w:val="24"/>
              </w:rPr>
              <w:t>25</w:t>
            </w:r>
          </w:p>
        </w:tc>
        <w:tc>
          <w:tcPr>
            <w:tcW w:w="1638" w:type="dxa"/>
            <w:shd w:val="clear" w:color="auto" w:fill="FFFFFF"/>
            <w:noWrap w:val="0"/>
            <w:vAlign w:val="center"/>
          </w:tcPr>
          <w:p w14:paraId="518BF177">
            <w:pPr>
              <w:widowControl/>
              <w:spacing w:before="100" w:beforeAutospacing="1" w:after="100" w:afterAutospacing="1"/>
              <w:ind w:firstLine="120" w:firstLineChars="50"/>
              <w:jc w:val="center"/>
              <w:rPr>
                <w:rFonts w:hint="eastAsia" w:ascii="仿宋_GB2312" w:hAnsi="仿宋_GB2312" w:eastAsia="仿宋_GB2312" w:cs="仿宋_GB2312"/>
                <w:b w:val="0"/>
                <w:bCs/>
                <w:color w:val="333333"/>
                <w:kern w:val="0"/>
                <w:sz w:val="24"/>
                <w:szCs w:val="24"/>
              </w:rPr>
            </w:pPr>
            <w:r>
              <w:rPr>
                <w:rFonts w:hint="eastAsia" w:ascii="仿宋_GB2312" w:hAnsi="仿宋_GB2312" w:eastAsia="仿宋_GB2312" w:cs="仿宋_GB2312"/>
                <w:b w:val="0"/>
                <w:bCs/>
                <w:color w:val="333333"/>
                <w:kern w:val="0"/>
                <w:sz w:val="24"/>
                <w:szCs w:val="24"/>
              </w:rPr>
              <w:t>50</w:t>
            </w:r>
          </w:p>
        </w:tc>
      </w:tr>
      <w:tr w14:paraId="098545C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30" w:hRule="atLeast"/>
          <w:tblCellSpacing w:w="7" w:type="dxa"/>
          <w:jc w:val="center"/>
        </w:trPr>
        <w:tc>
          <w:tcPr>
            <w:tcW w:w="1108" w:type="dxa"/>
            <w:shd w:val="clear" w:color="auto" w:fill="FFFFFF"/>
            <w:noWrap w:val="0"/>
            <w:vAlign w:val="center"/>
          </w:tcPr>
          <w:p w14:paraId="3BA19D12">
            <w:pPr>
              <w:widowControl/>
              <w:spacing w:before="100" w:beforeAutospacing="1" w:after="100" w:afterAutospacing="1"/>
              <w:ind w:firstLine="120" w:firstLineChars="50"/>
              <w:jc w:val="center"/>
              <w:rPr>
                <w:rFonts w:hint="eastAsia" w:ascii="仿宋_GB2312" w:hAnsi="仿宋_GB2312" w:eastAsia="仿宋_GB2312" w:cs="仿宋_GB2312"/>
                <w:b w:val="0"/>
                <w:bCs/>
                <w:color w:val="333333"/>
                <w:kern w:val="0"/>
                <w:sz w:val="24"/>
                <w:szCs w:val="24"/>
              </w:rPr>
            </w:pPr>
            <w:r>
              <w:rPr>
                <w:rFonts w:hint="eastAsia" w:ascii="仿宋_GB2312" w:hAnsi="仿宋_GB2312" w:eastAsia="仿宋_GB2312" w:cs="仿宋_GB2312"/>
                <w:b w:val="0"/>
                <w:bCs/>
                <w:color w:val="333333"/>
                <w:kern w:val="0"/>
                <w:sz w:val="24"/>
                <w:szCs w:val="24"/>
              </w:rPr>
              <w:t>总计</w:t>
            </w:r>
          </w:p>
        </w:tc>
        <w:tc>
          <w:tcPr>
            <w:tcW w:w="1492" w:type="dxa"/>
            <w:shd w:val="clear" w:color="auto" w:fill="FFFFFF"/>
            <w:noWrap w:val="0"/>
            <w:vAlign w:val="center"/>
          </w:tcPr>
          <w:p w14:paraId="4D6B32B5">
            <w:pPr>
              <w:widowControl/>
              <w:jc w:val="center"/>
              <w:rPr>
                <w:rFonts w:hint="eastAsia" w:ascii="仿宋_GB2312" w:hAnsi="仿宋_GB2312" w:eastAsia="仿宋_GB2312" w:cs="仿宋_GB2312"/>
                <w:b w:val="0"/>
                <w:bCs/>
                <w:color w:val="333333"/>
                <w:kern w:val="0"/>
                <w:sz w:val="24"/>
                <w:szCs w:val="24"/>
              </w:rPr>
            </w:pPr>
          </w:p>
        </w:tc>
        <w:tc>
          <w:tcPr>
            <w:tcW w:w="1081" w:type="dxa"/>
            <w:shd w:val="clear" w:color="auto" w:fill="FFFFFF"/>
            <w:noWrap w:val="0"/>
            <w:vAlign w:val="center"/>
          </w:tcPr>
          <w:p w14:paraId="31A102F6">
            <w:pPr>
              <w:widowControl/>
              <w:spacing w:before="100" w:beforeAutospacing="1" w:after="100" w:afterAutospacing="1"/>
              <w:ind w:firstLine="240" w:firstLineChars="100"/>
              <w:jc w:val="center"/>
              <w:rPr>
                <w:rFonts w:hint="eastAsia" w:ascii="仿宋_GB2312" w:hAnsi="仿宋_GB2312" w:eastAsia="仿宋_GB2312" w:cs="仿宋_GB2312"/>
                <w:b w:val="0"/>
                <w:bCs/>
                <w:color w:val="333333"/>
                <w:kern w:val="0"/>
                <w:sz w:val="24"/>
                <w:szCs w:val="24"/>
              </w:rPr>
            </w:pPr>
            <w:r>
              <w:rPr>
                <w:rFonts w:hint="eastAsia" w:ascii="仿宋_GB2312" w:hAnsi="仿宋_GB2312" w:eastAsia="仿宋_GB2312" w:cs="仿宋_GB2312"/>
                <w:b w:val="0"/>
                <w:bCs/>
                <w:color w:val="333333"/>
                <w:kern w:val="0"/>
                <w:sz w:val="24"/>
                <w:szCs w:val="24"/>
              </w:rPr>
              <w:t>46</w:t>
            </w:r>
          </w:p>
        </w:tc>
        <w:tc>
          <w:tcPr>
            <w:tcW w:w="1842" w:type="dxa"/>
            <w:shd w:val="clear" w:color="auto" w:fill="FFFFFF"/>
            <w:noWrap w:val="0"/>
            <w:vAlign w:val="center"/>
          </w:tcPr>
          <w:p w14:paraId="5D175B06">
            <w:pPr>
              <w:widowControl/>
              <w:spacing w:before="100" w:beforeAutospacing="1" w:after="100" w:afterAutospacing="1"/>
              <w:ind w:firstLine="120" w:firstLineChars="50"/>
              <w:jc w:val="center"/>
              <w:rPr>
                <w:rFonts w:hint="eastAsia" w:ascii="仿宋_GB2312" w:hAnsi="仿宋_GB2312" w:eastAsia="仿宋_GB2312" w:cs="仿宋_GB2312"/>
                <w:b w:val="0"/>
                <w:bCs/>
                <w:color w:val="333333"/>
                <w:kern w:val="0"/>
                <w:sz w:val="24"/>
                <w:szCs w:val="24"/>
              </w:rPr>
            </w:pPr>
            <w:r>
              <w:rPr>
                <w:rFonts w:hint="eastAsia" w:ascii="仿宋_GB2312" w:hAnsi="仿宋_GB2312" w:eastAsia="仿宋_GB2312" w:cs="仿宋_GB2312"/>
                <w:b w:val="0"/>
                <w:bCs/>
                <w:color w:val="333333"/>
                <w:kern w:val="0"/>
                <w:sz w:val="24"/>
                <w:szCs w:val="24"/>
              </w:rPr>
              <w:t>100</w:t>
            </w:r>
          </w:p>
        </w:tc>
        <w:tc>
          <w:tcPr>
            <w:tcW w:w="1638" w:type="dxa"/>
            <w:shd w:val="clear" w:color="auto" w:fill="FFFFFF"/>
            <w:noWrap w:val="0"/>
            <w:vAlign w:val="center"/>
          </w:tcPr>
          <w:p w14:paraId="26D1BA3B">
            <w:pPr>
              <w:widowControl/>
              <w:spacing w:before="100" w:beforeAutospacing="1" w:after="100" w:afterAutospacing="1"/>
              <w:ind w:firstLine="120" w:firstLineChars="50"/>
              <w:jc w:val="center"/>
              <w:rPr>
                <w:rFonts w:hint="eastAsia" w:ascii="仿宋_GB2312" w:hAnsi="仿宋_GB2312" w:eastAsia="仿宋_GB2312" w:cs="仿宋_GB2312"/>
                <w:b w:val="0"/>
                <w:bCs/>
                <w:color w:val="333333"/>
                <w:kern w:val="0"/>
                <w:sz w:val="24"/>
                <w:szCs w:val="24"/>
              </w:rPr>
            </w:pPr>
            <w:r>
              <w:rPr>
                <w:rFonts w:hint="eastAsia" w:ascii="仿宋_GB2312" w:hAnsi="仿宋_GB2312" w:eastAsia="仿宋_GB2312" w:cs="仿宋_GB2312"/>
                <w:b w:val="0"/>
                <w:bCs/>
                <w:color w:val="333333"/>
                <w:kern w:val="0"/>
                <w:sz w:val="24"/>
                <w:szCs w:val="24"/>
              </w:rPr>
              <w:t>180</w:t>
            </w:r>
          </w:p>
        </w:tc>
      </w:tr>
    </w:tbl>
    <w:p w14:paraId="39245DC2">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四、参考书目</w:t>
      </w:r>
    </w:p>
    <w:p w14:paraId="6BC030A4">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仿宋_GB2312" w:hAnsi="仿宋_GB2312" w:eastAsia="仿宋_GB2312" w:cs="仿宋_GB2312"/>
          <w:color w:val="333333"/>
          <w:kern w:val="0"/>
          <w:sz w:val="32"/>
          <w:szCs w:val="32"/>
        </w:rPr>
      </w:pPr>
      <w:r>
        <w:rPr>
          <w:rFonts w:hint="default" w:ascii="仿宋_GB2312" w:hAnsi="仿宋_GB2312" w:eastAsia="仿宋_GB2312" w:cs="仿宋_GB2312"/>
          <w:color w:val="333333"/>
          <w:kern w:val="0"/>
          <w:sz w:val="32"/>
          <w:szCs w:val="32"/>
        </w:rPr>
        <w:t>1.相当于大学英语5-6级水平的教材（不限出版社）</w:t>
      </w:r>
    </w:p>
    <w:p w14:paraId="42244853">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333333"/>
          <w:kern w:val="0"/>
          <w:sz w:val="32"/>
          <w:szCs w:val="32"/>
        </w:rPr>
      </w:pPr>
      <w:r>
        <w:rPr>
          <w:rFonts w:hint="default" w:ascii="仿宋_GB2312" w:hAnsi="仿宋_GB2312" w:eastAsia="仿宋_GB2312" w:cs="仿宋_GB2312"/>
          <w:color w:val="333333"/>
          <w:kern w:val="0"/>
          <w:sz w:val="32"/>
          <w:szCs w:val="32"/>
        </w:rPr>
        <w:t>2.《研究生英语词汇表》（不限出版社）</w:t>
      </w:r>
    </w:p>
    <w:sectPr>
      <w:headerReference r:id="rId3" w:type="default"/>
      <w:pgSz w:w="11906" w:h="16838"/>
      <w:pgMar w:top="2098" w:right="1474" w:bottom="1984" w:left="1587"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ˎ̥">
    <w:altName w:val="Times New Roman"/>
    <w:panose1 w:val="00000000000000000000"/>
    <w:charset w:val="00"/>
    <w:family w:val="roman"/>
    <w:pitch w:val="default"/>
    <w:sig w:usb0="00000000" w:usb1="00000000" w:usb2="00000000" w:usb3="00000000" w:csb0="00040001" w:csb1="00000000"/>
  </w:font>
  <w:font w:name="仿宋_GB2312">
    <w:panose1 w:val="02010609030101010101"/>
    <w:charset w:val="86"/>
    <w:family w:val="auto"/>
    <w:pitch w:val="default"/>
    <w:sig w:usb0="00000001" w:usb1="080E0000" w:usb2="00000000" w:usb3="00000000" w:csb0="00040000" w:csb1="00000000"/>
    <w:embedRegular r:id="rId1" w:fontKey="{47778A64-2649-404C-9811-2666C7221544}"/>
  </w:font>
  <w:font w:name="方正小标宋简体">
    <w:panose1 w:val="02010600010101010101"/>
    <w:charset w:val="86"/>
    <w:family w:val="auto"/>
    <w:pitch w:val="default"/>
    <w:sig w:usb0="00000001" w:usb1="080E0000" w:usb2="00000000" w:usb3="00000000" w:csb0="00040000" w:csb1="00000000"/>
    <w:embedRegular r:id="rId2" w:fontKey="{56EE32F6-D6A7-4E1D-8903-9B42205C082A}"/>
  </w:font>
  <w:font w:name="楷体">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FBFDAD">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319E"/>
    <w:rsid w:val="000235FD"/>
    <w:rsid w:val="000C6CD9"/>
    <w:rsid w:val="00145685"/>
    <w:rsid w:val="00153B87"/>
    <w:rsid w:val="00176A56"/>
    <w:rsid w:val="001E4CEF"/>
    <w:rsid w:val="002136D4"/>
    <w:rsid w:val="0022023D"/>
    <w:rsid w:val="00222448"/>
    <w:rsid w:val="00281A14"/>
    <w:rsid w:val="002963A3"/>
    <w:rsid w:val="00302986"/>
    <w:rsid w:val="00305B1B"/>
    <w:rsid w:val="00306EC8"/>
    <w:rsid w:val="003256F9"/>
    <w:rsid w:val="003357E7"/>
    <w:rsid w:val="00344F97"/>
    <w:rsid w:val="00380724"/>
    <w:rsid w:val="00395269"/>
    <w:rsid w:val="003F3473"/>
    <w:rsid w:val="003F3B46"/>
    <w:rsid w:val="00472515"/>
    <w:rsid w:val="004A3EBF"/>
    <w:rsid w:val="004A5C8B"/>
    <w:rsid w:val="004A6A66"/>
    <w:rsid w:val="004F79AD"/>
    <w:rsid w:val="0050234A"/>
    <w:rsid w:val="005042BC"/>
    <w:rsid w:val="00505A29"/>
    <w:rsid w:val="00536D3C"/>
    <w:rsid w:val="00585A0D"/>
    <w:rsid w:val="005E149B"/>
    <w:rsid w:val="005E5BC9"/>
    <w:rsid w:val="00600128"/>
    <w:rsid w:val="0061110E"/>
    <w:rsid w:val="00636871"/>
    <w:rsid w:val="00645020"/>
    <w:rsid w:val="00676536"/>
    <w:rsid w:val="006A7E71"/>
    <w:rsid w:val="006B4AEA"/>
    <w:rsid w:val="006C0356"/>
    <w:rsid w:val="006D7FC7"/>
    <w:rsid w:val="00700CF9"/>
    <w:rsid w:val="00726419"/>
    <w:rsid w:val="00731B6D"/>
    <w:rsid w:val="00796DB5"/>
    <w:rsid w:val="0081425E"/>
    <w:rsid w:val="0083033F"/>
    <w:rsid w:val="00836F1B"/>
    <w:rsid w:val="008602F5"/>
    <w:rsid w:val="00860925"/>
    <w:rsid w:val="00872E50"/>
    <w:rsid w:val="00880603"/>
    <w:rsid w:val="008C56D4"/>
    <w:rsid w:val="008D07A1"/>
    <w:rsid w:val="00904412"/>
    <w:rsid w:val="009253D7"/>
    <w:rsid w:val="009832FB"/>
    <w:rsid w:val="00984BC1"/>
    <w:rsid w:val="009C40A1"/>
    <w:rsid w:val="00A075AA"/>
    <w:rsid w:val="00A3319E"/>
    <w:rsid w:val="00B25FAE"/>
    <w:rsid w:val="00B51A09"/>
    <w:rsid w:val="00B91A7D"/>
    <w:rsid w:val="00BC5652"/>
    <w:rsid w:val="00BF2109"/>
    <w:rsid w:val="00C13C71"/>
    <w:rsid w:val="00C1479D"/>
    <w:rsid w:val="00C17163"/>
    <w:rsid w:val="00C701E6"/>
    <w:rsid w:val="00C9302F"/>
    <w:rsid w:val="00CB390D"/>
    <w:rsid w:val="00CC2F00"/>
    <w:rsid w:val="00D16B23"/>
    <w:rsid w:val="00E76CCC"/>
    <w:rsid w:val="00E8174E"/>
    <w:rsid w:val="00E9167C"/>
    <w:rsid w:val="00E9577D"/>
    <w:rsid w:val="00EB3E13"/>
    <w:rsid w:val="00EC4063"/>
    <w:rsid w:val="00EE3B36"/>
    <w:rsid w:val="00EF58D4"/>
    <w:rsid w:val="00F816F1"/>
    <w:rsid w:val="00FB4A1C"/>
    <w:rsid w:val="00FC45BD"/>
    <w:rsid w:val="00FC697E"/>
    <w:rsid w:val="00FD46C6"/>
    <w:rsid w:val="00FD6780"/>
    <w:rsid w:val="062A1080"/>
    <w:rsid w:val="1CBF3417"/>
    <w:rsid w:val="22F866E1"/>
    <w:rsid w:val="28810F26"/>
    <w:rsid w:val="2BFB2976"/>
    <w:rsid w:val="3ABC2E36"/>
    <w:rsid w:val="6EF44131"/>
    <w:rsid w:val="72BB3CB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alloon Text"/>
    <w:basedOn w:val="1"/>
    <w:semiHidden/>
    <w:uiPriority w:val="0"/>
    <w:rPr>
      <w:sz w:val="18"/>
      <w:szCs w:val="18"/>
    </w:rPr>
  </w:style>
  <w:style w:type="paragraph" w:styleId="3">
    <w:name w:val="footer"/>
    <w:basedOn w:val="1"/>
    <w:uiPriority w:val="0"/>
    <w:pPr>
      <w:tabs>
        <w:tab w:val="center" w:pos="4153"/>
        <w:tab w:val="right" w:pos="8306"/>
      </w:tabs>
      <w:snapToGrid w:val="0"/>
      <w:jc w:val="left"/>
    </w:pPr>
    <w:rPr>
      <w:sz w:val="18"/>
      <w:szCs w:val="18"/>
    </w:rPr>
  </w:style>
  <w:style w:type="paragraph" w:styleId="4">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uiPriority w:val="0"/>
    <w:pPr>
      <w:widowControl/>
      <w:spacing w:before="100" w:beforeAutospacing="1" w:after="100" w:afterAutospacing="1"/>
      <w:jc w:val="left"/>
    </w:pPr>
    <w:rPr>
      <w:rFonts w:ascii="宋体" w:hAnsi="宋体" w:cs="宋体"/>
      <w:kern w:val="0"/>
      <w:sz w:val="24"/>
    </w:rPr>
  </w:style>
  <w:style w:type="table" w:styleId="7">
    <w:name w:val="Table Grid"/>
    <w:basedOn w:val="6"/>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沈阳理工大学</Company>
  <Pages>4</Pages>
  <Words>1427</Words>
  <Characters>1591</Characters>
  <Lines>12</Lines>
  <Paragraphs>3</Paragraphs>
  <TotalTime>0</TotalTime>
  <ScaleCrop>false</ScaleCrop>
  <LinksUpToDate>false</LinksUpToDate>
  <CharactersWithSpaces>1647</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2014-03-18T01:14:00Z</dcterms:created>
  <dc:creator>zxb</dc:creator>
  <cp:lastModifiedBy>研究生院</cp:lastModifiedBy>
  <cp:lastPrinted>2020-05-21T07:26:00Z</cp:lastPrinted>
  <dcterms:modified xsi:type="dcterms:W3CDTF">2025-04-21T07:07:10Z</dcterms:modified>
  <dc:title>沈阳理工大学硕士研究生入学考试自命题考试大纲</dc:title>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906BF0AABD024748A3C10E2A891664B3_13</vt:lpwstr>
  </property>
  <property fmtid="{D5CDD505-2E9C-101B-9397-08002B2CF9AE}" pid="4" name="KSOTemplateDocerSaveRecord">
    <vt:lpwstr>eyJoZGlkIjoiNmE4YWE2NWM2NjkyMzUxOGRkNDNkNjJlMmYxYjJlZDkiLCJ1c2VySWQiOiI1ODcwNDk2NjQifQ==</vt:lpwstr>
  </property>
</Properties>
</file>