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D9FC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color w:val="000000"/>
          <w:sz w:val="36"/>
          <w:szCs w:val="36"/>
        </w:rPr>
      </w:pPr>
      <w:r>
        <w:rPr>
          <w:rFonts w:hint="default" w:ascii="Times New Roman" w:hAnsi="Times New Roman" w:eastAsia="方正小标宋简体" w:cs="Times New Roman"/>
          <w:b w:val="0"/>
          <w:bCs/>
          <w:color w:val="000000"/>
          <w:sz w:val="36"/>
          <w:szCs w:val="36"/>
        </w:rPr>
        <w:t>沈阳理工大学博士研究生</w:t>
      </w:r>
      <w:r>
        <w:rPr>
          <w:rFonts w:hint="default" w:ascii="Times New Roman" w:hAnsi="Times New Roman" w:eastAsia="方正小标宋简体" w:cs="Times New Roman"/>
          <w:b w:val="0"/>
          <w:bCs/>
          <w:color w:val="000000"/>
          <w:sz w:val="36"/>
          <w:szCs w:val="36"/>
          <w:lang w:val="en-US" w:eastAsia="zh-CN"/>
        </w:rPr>
        <w:t>招生</w:t>
      </w:r>
      <w:r>
        <w:rPr>
          <w:rFonts w:hint="default" w:ascii="Times New Roman" w:hAnsi="Times New Roman" w:eastAsia="方正小标宋简体" w:cs="Times New Roman"/>
          <w:b w:val="0"/>
          <w:bCs/>
          <w:color w:val="000000"/>
          <w:sz w:val="36"/>
          <w:szCs w:val="36"/>
        </w:rPr>
        <w:t>考试</w:t>
      </w:r>
      <w:r>
        <w:rPr>
          <w:rFonts w:hint="default" w:ascii="Times New Roman" w:hAnsi="Times New Roman" w:eastAsia="方正小标宋简体" w:cs="Times New Roman"/>
          <w:b w:val="0"/>
          <w:bCs/>
          <w:color w:val="000000"/>
          <w:sz w:val="36"/>
          <w:szCs w:val="36"/>
          <w:lang w:val="en-US" w:eastAsia="zh-CN"/>
        </w:rPr>
        <w:t>初试科目考试</w:t>
      </w:r>
      <w:r>
        <w:rPr>
          <w:rFonts w:hint="default" w:ascii="Times New Roman" w:hAnsi="Times New Roman" w:eastAsia="方正小标宋简体" w:cs="Times New Roman"/>
          <w:b w:val="0"/>
          <w:bCs/>
          <w:color w:val="000000"/>
          <w:sz w:val="36"/>
          <w:szCs w:val="36"/>
        </w:rPr>
        <w:t>大纲</w:t>
      </w:r>
    </w:p>
    <w:p w14:paraId="4C81F332">
      <w:pPr>
        <w:keepNext w:val="0"/>
        <w:keepLines w:val="0"/>
        <w:pageBreakBefore w:val="0"/>
        <w:widowControl w:val="0"/>
        <w:tabs>
          <w:tab w:val="right" w:pos="8312"/>
        </w:tabs>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科目代码：1002</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科目名称：俄语</w:t>
      </w:r>
    </w:p>
    <w:p w14:paraId="5BDAB79C">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一、考试基本内容</w:t>
      </w:r>
    </w:p>
    <w:p w14:paraId="788B95F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沈阳理工大学参照各博士招生单位制定的培养方案，并考虑研究生教育的实际，制订本科目的考试内容。</w:t>
      </w:r>
    </w:p>
    <w:p w14:paraId="7AC65C5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考试内容共分五个部分：阅读理解（40%）、完形填空（10%）、俄译汉（15%）、汉译俄（10%）、写作（25%）。</w:t>
      </w:r>
    </w:p>
    <w:p w14:paraId="326A8F19">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二、考试要求</w:t>
      </w:r>
    </w:p>
    <w:p w14:paraId="59CD1AE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非俄语专业博士研究生入学考试，重点考察考生的俄语语言综合运用能力，即运用俄语发现问题、分析问题和解决问题的能力。</w:t>
      </w:r>
    </w:p>
    <w:p w14:paraId="332AAAA9">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三、题型</w:t>
      </w:r>
    </w:p>
    <w:p w14:paraId="6432DF1C">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 阅读理解（Часть I Чтение）：共20题，每小题2分，总计40分。</w:t>
      </w:r>
    </w:p>
    <w:p w14:paraId="3C82B05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阅读理解部分主要测试考生在规定时间内通过阅读获取信息的能力，既要求准确度，也要求有一定的速度。 </w:t>
      </w:r>
    </w:p>
    <w:p w14:paraId="124D1AC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本部分主要测试下述能力： </w:t>
      </w:r>
    </w:p>
    <w:p w14:paraId="263CB23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1. 掌握所读材料的中心思想、主要内容和有关细节； </w:t>
      </w:r>
    </w:p>
    <w:p w14:paraId="1826EC9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2. 对所读材料的内容进行正确的判断和推理； </w:t>
      </w:r>
    </w:p>
    <w:p w14:paraId="64C8AAD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3. 根据上下文的逻辑关系理解某些词和句子的意义； </w:t>
      </w:r>
    </w:p>
    <w:p w14:paraId="5805EE0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4. 领会作者的观点和判断作者的态度。 </w:t>
      </w:r>
    </w:p>
    <w:p w14:paraId="40DBC21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阅读材料的选择原则： </w:t>
      </w:r>
    </w:p>
    <w:p w14:paraId="6D2ED63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1. 题材广泛，可以包括社会、文化、科普知识、史地、人物传记等。所涉及的背景知识应能为考生所了解； </w:t>
      </w:r>
    </w:p>
    <w:p w14:paraId="1D53172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2. 体裁多样，可包括叙事、议论、描述、说明、应用文等； </w:t>
      </w:r>
    </w:p>
    <w:p w14:paraId="4CFA7F1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阅读量为2300-2500个单词。考生应根据文章内容从每题所给的四个选项中选出一个最佳答案。 </w:t>
      </w:r>
    </w:p>
    <w:p w14:paraId="00C6D265">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完形填空（</w:t>
      </w:r>
      <w:r>
        <w:rPr>
          <w:rFonts w:hint="eastAsia" w:ascii="仿宋_GB2312" w:hAnsi="仿宋_GB2312" w:eastAsia="仿宋_GB2312" w:cs="仿宋_GB2312"/>
          <w:b/>
          <w:kern w:val="0"/>
          <w:sz w:val="32"/>
          <w:szCs w:val="32"/>
          <w:lang w:val="ru-RU"/>
        </w:rPr>
        <w:t>Часть</w:t>
      </w:r>
      <w:r>
        <w:rPr>
          <w:rFonts w:hint="eastAsia" w:ascii="仿宋_GB2312" w:hAnsi="仿宋_GB2312" w:eastAsia="仿宋_GB2312" w:cs="仿宋_GB2312"/>
          <w:b/>
          <w:kern w:val="0"/>
          <w:sz w:val="32"/>
          <w:szCs w:val="32"/>
        </w:rPr>
        <w:t xml:space="preserve"> II </w:t>
      </w:r>
      <w:r>
        <w:rPr>
          <w:rFonts w:hint="eastAsia" w:ascii="仿宋_GB2312" w:hAnsi="仿宋_GB2312" w:eastAsia="仿宋_GB2312" w:cs="仿宋_GB2312"/>
          <w:b/>
          <w:kern w:val="0"/>
          <w:sz w:val="32"/>
          <w:szCs w:val="32"/>
          <w:lang w:val="ru-RU"/>
        </w:rPr>
        <w:t>Заполните</w:t>
      </w:r>
      <w:r>
        <w:rPr>
          <w:rFonts w:hint="eastAsia" w:ascii="仿宋_GB2312" w:hAnsi="仿宋_GB2312" w:eastAsia="仿宋_GB2312" w:cs="仿宋_GB2312"/>
          <w:b/>
          <w:kern w:val="0"/>
          <w:sz w:val="32"/>
          <w:szCs w:val="32"/>
        </w:rPr>
        <w:t xml:space="preserve"> </w:t>
      </w:r>
      <w:r>
        <w:rPr>
          <w:rFonts w:hint="eastAsia" w:ascii="仿宋_GB2312" w:hAnsi="仿宋_GB2312" w:eastAsia="仿宋_GB2312" w:cs="仿宋_GB2312"/>
          <w:b/>
          <w:kern w:val="0"/>
          <w:sz w:val="32"/>
          <w:szCs w:val="32"/>
          <w:lang w:val="ru-RU"/>
        </w:rPr>
        <w:t>пропуски</w:t>
      </w:r>
      <w:r>
        <w:rPr>
          <w:rFonts w:hint="eastAsia" w:ascii="仿宋_GB2312" w:hAnsi="仿宋_GB2312" w:eastAsia="仿宋_GB2312" w:cs="仿宋_GB2312"/>
          <w:b/>
          <w:kern w:val="0"/>
          <w:sz w:val="32"/>
          <w:szCs w:val="32"/>
        </w:rPr>
        <w:t>）：共10小题，每小题1分，总计10分。</w:t>
      </w:r>
    </w:p>
    <w:p w14:paraId="78D0106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完形填空部分主要测试考生在俄语语篇水平上的理解能力和实际运用语言的能力。测试形式是在一篇题材熟悉、难度适中的短文（约150-180词）中留出10个空（第一句和最后一句不留空），每个空为一题，要求考生就篇章后所给各题的四个选项中，选出可以填入空白处的一个最佳答案。</w:t>
      </w:r>
    </w:p>
    <w:p w14:paraId="4CD96F70">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俄译汉（Часть III Переведите микротекст с русского языка на китайский язык）：共3小题，每小题5分，总计15分。</w:t>
      </w:r>
    </w:p>
    <w:p w14:paraId="3E8A241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俄译汉部分主要测试考生在俄语语篇水平理解基础之上，对某些具体内容的准确理解并译成汉语的能力。测试的形式是从一篇约400-500词的短文中划出三小段，要求考生译成汉语。测试内容为一般性或科普常识性的短文。译文须忠实于原文，表达正确，语言流畅。</w:t>
      </w:r>
    </w:p>
    <w:p w14:paraId="735E5285">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汉译俄（Часть IV Переведите микротекст с китайского языка на русский язык）：共2小题，每小题5分，总计10分。</w:t>
      </w:r>
    </w:p>
    <w:p w14:paraId="6EB9C78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汉译俄部分主要测试考生将汉语译成俄语的能力。测试内容为一般性或科普常识性的短文，总量为两篇各50-80汉字的中文段落，每篇含3-4个汉语句子，要求考生译成俄语。译文须忠实于原文，表达正确，无重大语言错误。 </w:t>
      </w:r>
    </w:p>
    <w:p w14:paraId="24175D62">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第五部分 写作（Сочинение）：共2题，第一题为10分，第二题为15分，总计25分。</w:t>
      </w:r>
    </w:p>
    <w:p w14:paraId="3567CCA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写作部分主要测试考生使用俄语书面表达思想的能力，要求其写出一篇100词左右的应用型短文和一篇180词左右的非应用型短文。应用型短文的形式可以是申请信、推荐信、个人陈述等，文中不应出现任何和考生相关的信息；非应用型短文的形式可以有命题作文、主题作文、图表作文等。应用型短文写作和非应用型短文写作均要求切题、能正确表达思想、无重大语法错误。 </w:t>
      </w:r>
    </w:p>
    <w:p w14:paraId="7E71F91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考试形式与试卷结构 </w:t>
      </w:r>
    </w:p>
    <w:p w14:paraId="1E39687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1. 答卷方式：闭卷、笔试。 </w:t>
      </w:r>
    </w:p>
    <w:p w14:paraId="4EC9401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2. 考试时间：180分钟。试卷满分为100分。 </w:t>
      </w:r>
    </w:p>
    <w:p w14:paraId="5E55994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3. 题型：试卷包括阅读理解、完形填空、俄译汉、汉译俄、写作等题型。 </w:t>
      </w:r>
    </w:p>
    <w:p w14:paraId="40D2F63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4. 试题难易比例：试卷包括容易题、中等题和难题，以中等题为主。 </w:t>
      </w:r>
    </w:p>
    <w:p w14:paraId="60795F4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5. 试卷题型、题量、计分和答题参考时间如下表所示： </w:t>
      </w:r>
    </w:p>
    <w:tbl>
      <w:tblPr>
        <w:tblStyle w:val="6"/>
        <w:tblW w:w="7245" w:type="dxa"/>
        <w:jc w:val="center"/>
        <w:tblCellSpacing w:w="7"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Layout w:type="autofit"/>
        <w:tblCellMar>
          <w:top w:w="0" w:type="dxa"/>
          <w:left w:w="0" w:type="dxa"/>
          <w:bottom w:w="0" w:type="dxa"/>
          <w:right w:w="0" w:type="dxa"/>
        </w:tblCellMar>
      </w:tblPr>
      <w:tblGrid>
        <w:gridCol w:w="1129"/>
        <w:gridCol w:w="1506"/>
        <w:gridCol w:w="1095"/>
        <w:gridCol w:w="1804"/>
        <w:gridCol w:w="1711"/>
      </w:tblGrid>
      <w:tr w14:paraId="6B67E3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0" w:type="dxa"/>
            <w:bottom w:w="0" w:type="dxa"/>
            <w:right w:w="0" w:type="dxa"/>
          </w:tblCellMar>
        </w:tblPrEx>
        <w:trPr>
          <w:trHeight w:val="630" w:hRule="atLeast"/>
          <w:tblCellSpacing w:w="7" w:type="dxa"/>
          <w:jc w:val="center"/>
        </w:trPr>
        <w:tc>
          <w:tcPr>
            <w:tcW w:w="1108" w:type="dxa"/>
            <w:shd w:val="clear" w:color="auto" w:fill="FFFFFF"/>
            <w:noWrap w:val="0"/>
            <w:vAlign w:val="center"/>
          </w:tcPr>
          <w:p w14:paraId="2DB0C455">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题号</w:t>
            </w:r>
          </w:p>
        </w:tc>
        <w:tc>
          <w:tcPr>
            <w:tcW w:w="1492" w:type="dxa"/>
            <w:shd w:val="clear" w:color="auto" w:fill="FFFFFF"/>
            <w:noWrap w:val="0"/>
            <w:vAlign w:val="center"/>
          </w:tcPr>
          <w:p w14:paraId="490786DA">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题型</w:t>
            </w:r>
          </w:p>
        </w:tc>
        <w:tc>
          <w:tcPr>
            <w:tcW w:w="1081" w:type="dxa"/>
            <w:shd w:val="clear" w:color="auto" w:fill="FFFFFF"/>
            <w:noWrap w:val="0"/>
            <w:vAlign w:val="center"/>
          </w:tcPr>
          <w:p w14:paraId="689681C1">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题量</w:t>
            </w:r>
          </w:p>
        </w:tc>
        <w:tc>
          <w:tcPr>
            <w:tcW w:w="1790" w:type="dxa"/>
            <w:shd w:val="clear" w:color="auto" w:fill="FFFFFF"/>
            <w:noWrap w:val="0"/>
            <w:vAlign w:val="center"/>
          </w:tcPr>
          <w:p w14:paraId="0858764E">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计分（百分比）</w:t>
            </w:r>
          </w:p>
        </w:tc>
        <w:tc>
          <w:tcPr>
            <w:tcW w:w="1690" w:type="dxa"/>
            <w:shd w:val="clear" w:color="auto" w:fill="FFFFFF"/>
            <w:noWrap w:val="0"/>
            <w:vAlign w:val="center"/>
          </w:tcPr>
          <w:p w14:paraId="1C2D7929">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答题参考时间（分钟）</w:t>
            </w:r>
          </w:p>
        </w:tc>
      </w:tr>
      <w:tr w14:paraId="457D2A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0" w:type="dxa"/>
            <w:bottom w:w="0" w:type="dxa"/>
            <w:right w:w="0" w:type="dxa"/>
          </w:tblCellMar>
        </w:tblPrEx>
        <w:trPr>
          <w:trHeight w:val="630" w:hRule="atLeast"/>
          <w:tblCellSpacing w:w="7" w:type="dxa"/>
          <w:jc w:val="center"/>
        </w:trPr>
        <w:tc>
          <w:tcPr>
            <w:tcW w:w="1108" w:type="dxa"/>
            <w:shd w:val="clear" w:color="auto" w:fill="FFFFFF"/>
            <w:noWrap w:val="0"/>
            <w:vAlign w:val="center"/>
          </w:tcPr>
          <w:p w14:paraId="14F1F75F">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I</w:t>
            </w:r>
          </w:p>
        </w:tc>
        <w:tc>
          <w:tcPr>
            <w:tcW w:w="1492" w:type="dxa"/>
            <w:shd w:val="clear" w:color="auto" w:fill="FFFFFF"/>
            <w:noWrap w:val="0"/>
            <w:vAlign w:val="center"/>
          </w:tcPr>
          <w:p w14:paraId="379DCC0E">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阅读理解</w:t>
            </w:r>
          </w:p>
        </w:tc>
        <w:tc>
          <w:tcPr>
            <w:tcW w:w="1081" w:type="dxa"/>
            <w:shd w:val="clear" w:color="auto" w:fill="FFFFFF"/>
            <w:noWrap w:val="0"/>
            <w:vAlign w:val="center"/>
          </w:tcPr>
          <w:p w14:paraId="304E972D">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20</w:t>
            </w:r>
          </w:p>
        </w:tc>
        <w:tc>
          <w:tcPr>
            <w:tcW w:w="1790" w:type="dxa"/>
            <w:shd w:val="clear" w:color="auto" w:fill="FFFFFF"/>
            <w:noWrap w:val="0"/>
            <w:vAlign w:val="center"/>
          </w:tcPr>
          <w:p w14:paraId="4EE73F05">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40</w:t>
            </w:r>
            <w:bookmarkStart w:id="0" w:name="_GoBack"/>
            <w:bookmarkEnd w:id="0"/>
          </w:p>
        </w:tc>
        <w:tc>
          <w:tcPr>
            <w:tcW w:w="1690" w:type="dxa"/>
            <w:shd w:val="clear" w:color="auto" w:fill="FFFFFF"/>
            <w:noWrap w:val="0"/>
            <w:vAlign w:val="center"/>
          </w:tcPr>
          <w:p w14:paraId="27A3C061">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60</w:t>
            </w:r>
          </w:p>
        </w:tc>
      </w:tr>
      <w:tr w14:paraId="7A80BFB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0" w:type="dxa"/>
            <w:bottom w:w="0" w:type="dxa"/>
            <w:right w:w="0" w:type="dxa"/>
          </w:tblCellMar>
        </w:tblPrEx>
        <w:trPr>
          <w:trHeight w:val="630" w:hRule="atLeast"/>
          <w:tblCellSpacing w:w="7" w:type="dxa"/>
          <w:jc w:val="center"/>
        </w:trPr>
        <w:tc>
          <w:tcPr>
            <w:tcW w:w="1108" w:type="dxa"/>
            <w:shd w:val="clear" w:color="auto" w:fill="FFFFFF"/>
            <w:noWrap w:val="0"/>
            <w:vAlign w:val="center"/>
          </w:tcPr>
          <w:p w14:paraId="2AB19C30">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II</w:t>
            </w:r>
          </w:p>
        </w:tc>
        <w:tc>
          <w:tcPr>
            <w:tcW w:w="1492" w:type="dxa"/>
            <w:shd w:val="clear" w:color="auto" w:fill="FFFFFF"/>
            <w:noWrap w:val="0"/>
            <w:vAlign w:val="center"/>
          </w:tcPr>
          <w:p w14:paraId="61686FEC">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完形填空</w:t>
            </w:r>
          </w:p>
        </w:tc>
        <w:tc>
          <w:tcPr>
            <w:tcW w:w="1081" w:type="dxa"/>
            <w:shd w:val="clear" w:color="auto" w:fill="FFFFFF"/>
            <w:noWrap w:val="0"/>
            <w:vAlign w:val="center"/>
          </w:tcPr>
          <w:p w14:paraId="08B41A23">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10</w:t>
            </w:r>
          </w:p>
        </w:tc>
        <w:tc>
          <w:tcPr>
            <w:tcW w:w="1790" w:type="dxa"/>
            <w:shd w:val="clear" w:color="auto" w:fill="FFFFFF"/>
            <w:noWrap w:val="0"/>
            <w:vAlign w:val="center"/>
          </w:tcPr>
          <w:p w14:paraId="258863F2">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10</w:t>
            </w:r>
          </w:p>
        </w:tc>
        <w:tc>
          <w:tcPr>
            <w:tcW w:w="1690" w:type="dxa"/>
            <w:shd w:val="clear" w:color="auto" w:fill="FFFFFF"/>
            <w:noWrap w:val="0"/>
            <w:vAlign w:val="center"/>
          </w:tcPr>
          <w:p w14:paraId="629DDD08">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10</w:t>
            </w:r>
          </w:p>
        </w:tc>
      </w:tr>
      <w:tr w14:paraId="33AF4B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0" w:type="dxa"/>
            <w:bottom w:w="0" w:type="dxa"/>
            <w:right w:w="0" w:type="dxa"/>
          </w:tblCellMar>
        </w:tblPrEx>
        <w:trPr>
          <w:trHeight w:val="630" w:hRule="atLeast"/>
          <w:tblCellSpacing w:w="7" w:type="dxa"/>
          <w:jc w:val="center"/>
        </w:trPr>
        <w:tc>
          <w:tcPr>
            <w:tcW w:w="1108" w:type="dxa"/>
            <w:shd w:val="clear" w:color="auto" w:fill="FFFFFF"/>
            <w:noWrap w:val="0"/>
            <w:vAlign w:val="center"/>
          </w:tcPr>
          <w:p w14:paraId="71318AFF">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III</w:t>
            </w:r>
          </w:p>
        </w:tc>
        <w:tc>
          <w:tcPr>
            <w:tcW w:w="1492" w:type="dxa"/>
            <w:shd w:val="clear" w:color="auto" w:fill="FFFFFF"/>
            <w:noWrap w:val="0"/>
            <w:vAlign w:val="center"/>
          </w:tcPr>
          <w:p w14:paraId="6A5E94BE">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俄译汉</w:t>
            </w:r>
          </w:p>
        </w:tc>
        <w:tc>
          <w:tcPr>
            <w:tcW w:w="1081" w:type="dxa"/>
            <w:shd w:val="clear" w:color="auto" w:fill="FFFFFF"/>
            <w:noWrap w:val="0"/>
            <w:vAlign w:val="center"/>
          </w:tcPr>
          <w:p w14:paraId="59854F20">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3</w:t>
            </w:r>
          </w:p>
        </w:tc>
        <w:tc>
          <w:tcPr>
            <w:tcW w:w="1790" w:type="dxa"/>
            <w:shd w:val="clear" w:color="auto" w:fill="FFFFFF"/>
            <w:noWrap w:val="0"/>
            <w:vAlign w:val="center"/>
          </w:tcPr>
          <w:p w14:paraId="7A13AF1E">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15</w:t>
            </w:r>
          </w:p>
        </w:tc>
        <w:tc>
          <w:tcPr>
            <w:tcW w:w="1690" w:type="dxa"/>
            <w:shd w:val="clear" w:color="auto" w:fill="FFFFFF"/>
            <w:noWrap w:val="0"/>
            <w:vAlign w:val="center"/>
          </w:tcPr>
          <w:p w14:paraId="463A2DB0">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30</w:t>
            </w:r>
          </w:p>
        </w:tc>
      </w:tr>
      <w:tr w14:paraId="606AEE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0" w:type="dxa"/>
            <w:bottom w:w="0" w:type="dxa"/>
            <w:right w:w="0" w:type="dxa"/>
          </w:tblCellMar>
        </w:tblPrEx>
        <w:trPr>
          <w:trHeight w:val="630" w:hRule="atLeast"/>
          <w:tblCellSpacing w:w="7" w:type="dxa"/>
          <w:jc w:val="center"/>
        </w:trPr>
        <w:tc>
          <w:tcPr>
            <w:tcW w:w="1108" w:type="dxa"/>
            <w:shd w:val="clear" w:color="auto" w:fill="FFFFFF"/>
            <w:noWrap w:val="0"/>
            <w:vAlign w:val="center"/>
          </w:tcPr>
          <w:p w14:paraId="770205EF">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IV</w:t>
            </w:r>
          </w:p>
        </w:tc>
        <w:tc>
          <w:tcPr>
            <w:tcW w:w="1492" w:type="dxa"/>
            <w:shd w:val="clear" w:color="auto" w:fill="FFFFFF"/>
            <w:noWrap w:val="0"/>
            <w:vAlign w:val="center"/>
          </w:tcPr>
          <w:p w14:paraId="6C35F328">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汉译俄</w:t>
            </w:r>
          </w:p>
        </w:tc>
        <w:tc>
          <w:tcPr>
            <w:tcW w:w="1081" w:type="dxa"/>
            <w:shd w:val="clear" w:color="auto" w:fill="FFFFFF"/>
            <w:noWrap w:val="0"/>
            <w:vAlign w:val="center"/>
          </w:tcPr>
          <w:p w14:paraId="7111781D">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2</w:t>
            </w:r>
          </w:p>
        </w:tc>
        <w:tc>
          <w:tcPr>
            <w:tcW w:w="1790" w:type="dxa"/>
            <w:shd w:val="clear" w:color="auto" w:fill="FFFFFF"/>
            <w:noWrap w:val="0"/>
            <w:vAlign w:val="center"/>
          </w:tcPr>
          <w:p w14:paraId="6E3E1D68">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10</w:t>
            </w:r>
          </w:p>
        </w:tc>
        <w:tc>
          <w:tcPr>
            <w:tcW w:w="1690" w:type="dxa"/>
            <w:shd w:val="clear" w:color="auto" w:fill="FFFFFF"/>
            <w:noWrap w:val="0"/>
            <w:vAlign w:val="center"/>
          </w:tcPr>
          <w:p w14:paraId="498EF673">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30</w:t>
            </w:r>
          </w:p>
        </w:tc>
      </w:tr>
      <w:tr w14:paraId="63938B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0" w:type="dxa"/>
            <w:bottom w:w="0" w:type="dxa"/>
            <w:right w:w="0" w:type="dxa"/>
          </w:tblCellMar>
        </w:tblPrEx>
        <w:trPr>
          <w:trHeight w:val="630" w:hRule="atLeast"/>
          <w:tblCellSpacing w:w="7" w:type="dxa"/>
          <w:jc w:val="center"/>
        </w:trPr>
        <w:tc>
          <w:tcPr>
            <w:tcW w:w="1108" w:type="dxa"/>
            <w:shd w:val="clear" w:color="auto" w:fill="FFFFFF"/>
            <w:noWrap w:val="0"/>
            <w:vAlign w:val="center"/>
          </w:tcPr>
          <w:p w14:paraId="46BA0369">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V</w:t>
            </w:r>
          </w:p>
        </w:tc>
        <w:tc>
          <w:tcPr>
            <w:tcW w:w="1492" w:type="dxa"/>
            <w:shd w:val="clear" w:color="auto" w:fill="FFFFFF"/>
            <w:noWrap w:val="0"/>
            <w:vAlign w:val="center"/>
          </w:tcPr>
          <w:p w14:paraId="66D5629B">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写 作</w:t>
            </w:r>
          </w:p>
        </w:tc>
        <w:tc>
          <w:tcPr>
            <w:tcW w:w="1081" w:type="dxa"/>
            <w:shd w:val="clear" w:color="auto" w:fill="FFFFFF"/>
            <w:noWrap w:val="0"/>
            <w:vAlign w:val="center"/>
          </w:tcPr>
          <w:p w14:paraId="21EBA96C">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2</w:t>
            </w:r>
          </w:p>
        </w:tc>
        <w:tc>
          <w:tcPr>
            <w:tcW w:w="1790" w:type="dxa"/>
            <w:shd w:val="clear" w:color="auto" w:fill="FFFFFF"/>
            <w:noWrap w:val="0"/>
            <w:vAlign w:val="center"/>
          </w:tcPr>
          <w:p w14:paraId="2AFD61C7">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25</w:t>
            </w:r>
          </w:p>
        </w:tc>
        <w:tc>
          <w:tcPr>
            <w:tcW w:w="1690" w:type="dxa"/>
            <w:shd w:val="clear" w:color="auto" w:fill="FFFFFF"/>
            <w:noWrap w:val="0"/>
            <w:vAlign w:val="center"/>
          </w:tcPr>
          <w:p w14:paraId="26DD3AF7">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50</w:t>
            </w:r>
          </w:p>
        </w:tc>
      </w:tr>
      <w:tr w14:paraId="0CD698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0" w:type="dxa"/>
            <w:bottom w:w="0" w:type="dxa"/>
            <w:right w:w="0" w:type="dxa"/>
          </w:tblCellMar>
        </w:tblPrEx>
        <w:trPr>
          <w:trHeight w:val="630" w:hRule="atLeast"/>
          <w:tblCellSpacing w:w="7" w:type="dxa"/>
          <w:jc w:val="center"/>
        </w:trPr>
        <w:tc>
          <w:tcPr>
            <w:tcW w:w="1108" w:type="dxa"/>
            <w:shd w:val="clear" w:color="auto" w:fill="FFFFFF"/>
            <w:noWrap w:val="0"/>
            <w:vAlign w:val="center"/>
          </w:tcPr>
          <w:p w14:paraId="0F8CE6F4">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总计</w:t>
            </w:r>
          </w:p>
        </w:tc>
        <w:tc>
          <w:tcPr>
            <w:tcW w:w="1492" w:type="dxa"/>
            <w:shd w:val="clear" w:color="auto" w:fill="FFFFFF"/>
            <w:noWrap w:val="0"/>
            <w:vAlign w:val="center"/>
          </w:tcPr>
          <w:p w14:paraId="5A657989">
            <w:pPr>
              <w:widowControl/>
              <w:jc w:val="center"/>
              <w:rPr>
                <w:rFonts w:hint="eastAsia" w:ascii="仿宋_GB2312" w:hAnsi="仿宋_GB2312" w:eastAsia="仿宋_GB2312" w:cs="仿宋_GB2312"/>
                <w:b w:val="0"/>
                <w:bCs/>
                <w:kern w:val="0"/>
                <w:sz w:val="24"/>
                <w:szCs w:val="24"/>
              </w:rPr>
            </w:pPr>
          </w:p>
        </w:tc>
        <w:tc>
          <w:tcPr>
            <w:tcW w:w="1081" w:type="dxa"/>
            <w:shd w:val="clear" w:color="auto" w:fill="FFFFFF"/>
            <w:noWrap w:val="0"/>
            <w:vAlign w:val="center"/>
          </w:tcPr>
          <w:p w14:paraId="5036504A">
            <w:pPr>
              <w:widowControl/>
              <w:spacing w:before="100" w:beforeAutospacing="1" w:after="100" w:afterAutospacing="1"/>
              <w:ind w:firstLine="240" w:firstLineChars="10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37</w:t>
            </w:r>
          </w:p>
        </w:tc>
        <w:tc>
          <w:tcPr>
            <w:tcW w:w="1790" w:type="dxa"/>
            <w:shd w:val="clear" w:color="auto" w:fill="FFFFFF"/>
            <w:noWrap w:val="0"/>
            <w:vAlign w:val="center"/>
          </w:tcPr>
          <w:p w14:paraId="5E4525CB">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100</w:t>
            </w:r>
          </w:p>
        </w:tc>
        <w:tc>
          <w:tcPr>
            <w:tcW w:w="1690" w:type="dxa"/>
            <w:shd w:val="clear" w:color="auto" w:fill="FFFFFF"/>
            <w:noWrap w:val="0"/>
            <w:vAlign w:val="center"/>
          </w:tcPr>
          <w:p w14:paraId="1F9FAD5F">
            <w:pPr>
              <w:widowControl/>
              <w:spacing w:before="100" w:beforeAutospacing="1" w:after="100" w:afterAutospacing="1"/>
              <w:ind w:firstLine="120" w:firstLineChars="50"/>
              <w:jc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180</w:t>
            </w:r>
          </w:p>
        </w:tc>
      </w:tr>
    </w:tbl>
    <w:p w14:paraId="0061824E">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四、参考书目</w:t>
      </w:r>
    </w:p>
    <w:p w14:paraId="464444F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kern w:val="0"/>
          <w:sz w:val="32"/>
          <w:szCs w:val="32"/>
        </w:rPr>
      </w:pPr>
      <w:r>
        <w:rPr>
          <w:rFonts w:hint="default" w:ascii="仿宋_GB2312" w:hAnsi="仿宋_GB2312" w:eastAsia="仿宋_GB2312" w:cs="仿宋_GB2312"/>
          <w:kern w:val="0"/>
          <w:sz w:val="32"/>
          <w:szCs w:val="32"/>
        </w:rPr>
        <w:t>1.相当于大学俄语6级水平的教材及辅导材料（不限出版社）</w:t>
      </w:r>
    </w:p>
    <w:p w14:paraId="3235D6A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default" w:ascii="仿宋_GB2312" w:hAnsi="仿宋_GB2312" w:eastAsia="仿宋_GB2312" w:cs="仿宋_GB2312"/>
          <w:kern w:val="0"/>
          <w:sz w:val="32"/>
          <w:szCs w:val="32"/>
        </w:rPr>
        <w:t>2.《俄语考研词汇》（不限出版社）</w:t>
      </w:r>
    </w:p>
    <w:sectPr>
      <w:headerReference r:id="rId3" w:type="default"/>
      <w:pgSz w:w="11906" w:h="16838"/>
      <w:pgMar w:top="2098" w:right="1474" w:bottom="1984"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embedRegular r:id="rId1" w:fontKey="{7D02BDED-7A40-46E9-B4DF-F7DAB5F479A5}"/>
  </w:font>
  <w:font w:name="方正小标宋简体">
    <w:panose1 w:val="02010600010101010101"/>
    <w:charset w:val="86"/>
    <w:family w:val="auto"/>
    <w:pitch w:val="default"/>
    <w:sig w:usb0="00000001" w:usb1="080E0000" w:usb2="00000000" w:usb3="00000000" w:csb0="00040000" w:csb1="00000000"/>
    <w:embedRegular r:id="rId2" w:fontKey="{2A5A37BF-25D9-4950-9825-47C4D162D9B2}"/>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6BBAE">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19E"/>
    <w:rsid w:val="000369ED"/>
    <w:rsid w:val="0004618C"/>
    <w:rsid w:val="000773E9"/>
    <w:rsid w:val="00082728"/>
    <w:rsid w:val="000C6CD9"/>
    <w:rsid w:val="000D437F"/>
    <w:rsid w:val="000D7D47"/>
    <w:rsid w:val="001543F3"/>
    <w:rsid w:val="00176A56"/>
    <w:rsid w:val="001D1765"/>
    <w:rsid w:val="001E4CEF"/>
    <w:rsid w:val="0022023D"/>
    <w:rsid w:val="00222448"/>
    <w:rsid w:val="00275E9A"/>
    <w:rsid w:val="00281A14"/>
    <w:rsid w:val="002963A3"/>
    <w:rsid w:val="00302986"/>
    <w:rsid w:val="00305B1B"/>
    <w:rsid w:val="003256F9"/>
    <w:rsid w:val="003270AF"/>
    <w:rsid w:val="003357E7"/>
    <w:rsid w:val="00346612"/>
    <w:rsid w:val="003554E7"/>
    <w:rsid w:val="00373A8E"/>
    <w:rsid w:val="00382519"/>
    <w:rsid w:val="003C6174"/>
    <w:rsid w:val="003F3473"/>
    <w:rsid w:val="003F3B46"/>
    <w:rsid w:val="004164C7"/>
    <w:rsid w:val="004458CF"/>
    <w:rsid w:val="00461F83"/>
    <w:rsid w:val="00472515"/>
    <w:rsid w:val="00475F5E"/>
    <w:rsid w:val="004A6A66"/>
    <w:rsid w:val="004B70B8"/>
    <w:rsid w:val="004D6CAA"/>
    <w:rsid w:val="004F79AD"/>
    <w:rsid w:val="0050234A"/>
    <w:rsid w:val="00536D3C"/>
    <w:rsid w:val="00580246"/>
    <w:rsid w:val="00585DBA"/>
    <w:rsid w:val="00596CAE"/>
    <w:rsid w:val="005C7F46"/>
    <w:rsid w:val="005E5BC9"/>
    <w:rsid w:val="005E5D55"/>
    <w:rsid w:val="00600128"/>
    <w:rsid w:val="0061110E"/>
    <w:rsid w:val="006157B4"/>
    <w:rsid w:val="00661519"/>
    <w:rsid w:val="00676536"/>
    <w:rsid w:val="006A7E71"/>
    <w:rsid w:val="006B4AEA"/>
    <w:rsid w:val="006D7672"/>
    <w:rsid w:val="006D7FC7"/>
    <w:rsid w:val="00704808"/>
    <w:rsid w:val="00726419"/>
    <w:rsid w:val="00731B6D"/>
    <w:rsid w:val="007A125D"/>
    <w:rsid w:val="008101E8"/>
    <w:rsid w:val="0081651F"/>
    <w:rsid w:val="00836F1B"/>
    <w:rsid w:val="00842C35"/>
    <w:rsid w:val="008602F5"/>
    <w:rsid w:val="00872E50"/>
    <w:rsid w:val="008769E1"/>
    <w:rsid w:val="00880603"/>
    <w:rsid w:val="00892637"/>
    <w:rsid w:val="00896828"/>
    <w:rsid w:val="008D07A1"/>
    <w:rsid w:val="008F7F19"/>
    <w:rsid w:val="00926D4C"/>
    <w:rsid w:val="00932C2E"/>
    <w:rsid w:val="00940BFB"/>
    <w:rsid w:val="00945960"/>
    <w:rsid w:val="00947598"/>
    <w:rsid w:val="00956F74"/>
    <w:rsid w:val="009654F9"/>
    <w:rsid w:val="009832FB"/>
    <w:rsid w:val="009C40A1"/>
    <w:rsid w:val="009D483C"/>
    <w:rsid w:val="00A075AA"/>
    <w:rsid w:val="00A17ABD"/>
    <w:rsid w:val="00A20D99"/>
    <w:rsid w:val="00A3319E"/>
    <w:rsid w:val="00A81D66"/>
    <w:rsid w:val="00AA28CD"/>
    <w:rsid w:val="00B1741D"/>
    <w:rsid w:val="00B25FAE"/>
    <w:rsid w:val="00B51A09"/>
    <w:rsid w:val="00B650F8"/>
    <w:rsid w:val="00B94FA1"/>
    <w:rsid w:val="00BC5652"/>
    <w:rsid w:val="00BF2109"/>
    <w:rsid w:val="00C018EB"/>
    <w:rsid w:val="00C12D84"/>
    <w:rsid w:val="00C13C71"/>
    <w:rsid w:val="00C17163"/>
    <w:rsid w:val="00C623B5"/>
    <w:rsid w:val="00C71BCC"/>
    <w:rsid w:val="00C9302F"/>
    <w:rsid w:val="00CB390D"/>
    <w:rsid w:val="00CC710F"/>
    <w:rsid w:val="00D04DED"/>
    <w:rsid w:val="00D16B23"/>
    <w:rsid w:val="00D24BB0"/>
    <w:rsid w:val="00D7615B"/>
    <w:rsid w:val="00DB26FB"/>
    <w:rsid w:val="00DB2872"/>
    <w:rsid w:val="00E1043E"/>
    <w:rsid w:val="00E76CCC"/>
    <w:rsid w:val="00E9167C"/>
    <w:rsid w:val="00EC4063"/>
    <w:rsid w:val="00EE3B36"/>
    <w:rsid w:val="00EF58D4"/>
    <w:rsid w:val="00F313CB"/>
    <w:rsid w:val="00F46A55"/>
    <w:rsid w:val="00F816F1"/>
    <w:rsid w:val="00FC45BD"/>
    <w:rsid w:val="00FD46C6"/>
    <w:rsid w:val="00FD6780"/>
    <w:rsid w:val="00FF70A2"/>
    <w:rsid w:val="14A423A8"/>
    <w:rsid w:val="27FC297B"/>
    <w:rsid w:val="548E5CAE"/>
    <w:rsid w:val="565211B7"/>
    <w:rsid w:val="61125010"/>
    <w:rsid w:val="622F6A2E"/>
    <w:rsid w:val="70E6341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alloon Text"/>
    <w:basedOn w:val="1"/>
    <w:semiHidden/>
    <w:uiPriority w:val="0"/>
    <w:rPr>
      <w:sz w:val="18"/>
      <w:szCs w:val="18"/>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沈阳理工大学</Company>
  <Pages>4</Pages>
  <Words>1363</Words>
  <Characters>1584</Characters>
  <Lines>12</Lines>
  <Paragraphs>3</Paragraphs>
  <TotalTime>0</TotalTime>
  <ScaleCrop>false</ScaleCrop>
  <LinksUpToDate>false</LinksUpToDate>
  <CharactersWithSpaces>1643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2014-03-18T01:20:00Z</dcterms:created>
  <dc:creator>zxb</dc:creator>
  <cp:lastModifiedBy>研究生院</cp:lastModifiedBy>
  <cp:lastPrinted>2010-05-19T01:48:00Z</cp:lastPrinted>
  <dcterms:modified xsi:type="dcterms:W3CDTF">2025-04-21T07:07:34Z</dcterms:modified>
  <dc:title>沈阳理工大学硕士研究生入学考试自命题考试大纲</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BF94088628E84CCF93D923E0F4065DFD_13</vt:lpwstr>
  </property>
  <property fmtid="{D5CDD505-2E9C-101B-9397-08002B2CF9AE}" pid="4" name="KSOTemplateDocerSaveRecord">
    <vt:lpwstr>eyJoZGlkIjoiNmE4YWE2NWM2NjkyMzUxOGRkNDNkNjJlMmYxYjJlZDkiLCJ1c2VySWQiOiI1ODcwNDk2NjQifQ==</vt:lpwstr>
  </property>
</Properties>
</file>